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5674F" w14:textId="3EC75B27" w:rsidR="00280DD1" w:rsidRDefault="001C7608" w:rsidP="00280DD1">
      <w:pPr>
        <w:pStyle w:val="3GPPHeader"/>
        <w:spacing w:after="60"/>
        <w:rPr>
          <w:sz w:val="32"/>
          <w:szCs w:val="32"/>
          <w:highlight w:val="yellow"/>
        </w:rPr>
      </w:pPr>
      <w:r>
        <w:t xml:space="preserve">3GPP TSG-RAN WG2 </w:t>
      </w:r>
      <w:r w:rsidR="00FD210F">
        <w:t>#105</w:t>
      </w:r>
      <w:r w:rsidR="00280DD1">
        <w:tab/>
      </w:r>
      <w:proofErr w:type="spellStart"/>
      <w:r w:rsidR="00280DD1">
        <w:rPr>
          <w:sz w:val="32"/>
          <w:szCs w:val="32"/>
        </w:rPr>
        <w:t>Tdoc</w:t>
      </w:r>
      <w:proofErr w:type="spellEnd"/>
      <w:r w:rsidR="00280DD1">
        <w:rPr>
          <w:sz w:val="32"/>
          <w:szCs w:val="32"/>
        </w:rPr>
        <w:t xml:space="preserve"> R2-1</w:t>
      </w:r>
      <w:r w:rsidR="00FD210F">
        <w:rPr>
          <w:sz w:val="32"/>
          <w:szCs w:val="32"/>
        </w:rPr>
        <w:t>9</w:t>
      </w:r>
      <w:r w:rsidR="00726604">
        <w:rPr>
          <w:sz w:val="32"/>
          <w:szCs w:val="32"/>
        </w:rPr>
        <w:t>00408</w:t>
      </w:r>
    </w:p>
    <w:p w14:paraId="402908A8" w14:textId="77777777" w:rsidR="00280DD1" w:rsidRDefault="00FD210F" w:rsidP="00280DD1">
      <w:pPr>
        <w:pStyle w:val="3GPPHeader"/>
      </w:pPr>
      <w:r>
        <w:t>Athens, Greece, 25</w:t>
      </w:r>
      <w:r w:rsidRPr="00FD210F">
        <w:rPr>
          <w:vertAlign w:val="superscript"/>
        </w:rPr>
        <w:t>th</w:t>
      </w:r>
      <w:r>
        <w:t xml:space="preserve"> February – 1</w:t>
      </w:r>
      <w:r w:rsidRPr="00FD210F">
        <w:rPr>
          <w:vertAlign w:val="superscript"/>
        </w:rPr>
        <w:t>st</w:t>
      </w:r>
      <w:r>
        <w:t xml:space="preserve"> March 2019</w:t>
      </w:r>
    </w:p>
    <w:p w14:paraId="013DEF66" w14:textId="77777777" w:rsidR="00E90E49" w:rsidRPr="00CE0424" w:rsidRDefault="00E90E49" w:rsidP="00357380">
      <w:pPr>
        <w:pStyle w:val="3GPPHeader"/>
      </w:pPr>
    </w:p>
    <w:p w14:paraId="4015D1C7" w14:textId="797B2095" w:rsidR="00E90E49" w:rsidRPr="00001471" w:rsidRDefault="00E90E49" w:rsidP="00311702">
      <w:pPr>
        <w:pStyle w:val="3GPPHeader"/>
        <w:rPr>
          <w:sz w:val="22"/>
          <w:szCs w:val="22"/>
          <w:lang w:val="en-US"/>
        </w:rPr>
      </w:pPr>
      <w:r w:rsidRPr="00001471">
        <w:rPr>
          <w:sz w:val="22"/>
          <w:szCs w:val="22"/>
          <w:lang w:val="en-US"/>
        </w:rPr>
        <w:t>Agenda Item:</w:t>
      </w:r>
      <w:r w:rsidRPr="00001471">
        <w:rPr>
          <w:sz w:val="22"/>
          <w:szCs w:val="22"/>
          <w:lang w:val="en-US"/>
        </w:rPr>
        <w:tab/>
      </w:r>
      <w:r w:rsidR="00726604" w:rsidRPr="00001471">
        <w:rPr>
          <w:sz w:val="22"/>
          <w:szCs w:val="22"/>
          <w:lang w:val="en-US"/>
        </w:rPr>
        <w:t>11.7.2.4</w:t>
      </w:r>
    </w:p>
    <w:p w14:paraId="201DA23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E45AD7" w14:textId="5B0B613F" w:rsidR="00E90E49" w:rsidRPr="00CE0424" w:rsidRDefault="003D3C45" w:rsidP="00311702">
      <w:pPr>
        <w:pStyle w:val="3GPPHeader"/>
        <w:rPr>
          <w:sz w:val="22"/>
          <w:szCs w:val="22"/>
        </w:rPr>
      </w:pPr>
      <w:r>
        <w:rPr>
          <w:sz w:val="22"/>
          <w:szCs w:val="22"/>
        </w:rPr>
        <w:t>Title:</w:t>
      </w:r>
      <w:r w:rsidR="00E90E49" w:rsidRPr="00CE0424">
        <w:rPr>
          <w:sz w:val="22"/>
          <w:szCs w:val="22"/>
        </w:rPr>
        <w:tab/>
      </w:r>
      <w:r w:rsidR="00792266" w:rsidRPr="00001471">
        <w:rPr>
          <w:sz w:val="22"/>
          <w:szCs w:val="22"/>
        </w:rPr>
        <w:t>RAN</w:t>
      </w:r>
      <w:r w:rsidR="00BE4FAA" w:rsidRPr="00001471">
        <w:rPr>
          <w:sz w:val="22"/>
          <w:szCs w:val="22"/>
        </w:rPr>
        <w:t>2</w:t>
      </w:r>
      <w:r w:rsidR="00726604" w:rsidRPr="00001471">
        <w:rPr>
          <w:sz w:val="22"/>
          <w:szCs w:val="22"/>
        </w:rPr>
        <w:t>-</w:t>
      </w:r>
      <w:r w:rsidR="00792266" w:rsidRPr="00001471">
        <w:rPr>
          <w:sz w:val="22"/>
          <w:szCs w:val="22"/>
        </w:rPr>
        <w:t xml:space="preserve">aspects of </w:t>
      </w:r>
      <w:r w:rsidR="00FC0451" w:rsidRPr="00001471">
        <w:rPr>
          <w:sz w:val="22"/>
          <w:szCs w:val="22"/>
        </w:rPr>
        <w:t>Non-Public Networks (NPN)</w:t>
      </w:r>
      <w:r w:rsidR="00FC0451" w:rsidRPr="00001471" w:rsidDel="00FC0451">
        <w:rPr>
          <w:sz w:val="22"/>
          <w:szCs w:val="22"/>
        </w:rPr>
        <w:t xml:space="preserve"> </w:t>
      </w:r>
    </w:p>
    <w:p w14:paraId="727DBB8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001471">
        <w:rPr>
          <w:sz w:val="22"/>
          <w:szCs w:val="22"/>
        </w:rPr>
        <w:t>Discussion, Decision</w:t>
      </w:r>
    </w:p>
    <w:p w14:paraId="62376851" w14:textId="77777777" w:rsidR="00C24345" w:rsidRDefault="00E90E49" w:rsidP="00A2052C">
      <w:pPr>
        <w:pStyle w:val="Heading1"/>
      </w:pPr>
      <w:r w:rsidRPr="00CE0424">
        <w:t>Introduction</w:t>
      </w:r>
    </w:p>
    <w:p w14:paraId="394FC477" w14:textId="7A03BDFF" w:rsidR="00B272E0" w:rsidRDefault="00921D5A" w:rsidP="00A2052C">
      <w:r>
        <w:t xml:space="preserve">RAN2 has received </w:t>
      </w:r>
      <w:proofErr w:type="gramStart"/>
      <w:r>
        <w:t>an</w:t>
      </w:r>
      <w:proofErr w:type="gramEnd"/>
      <w:r>
        <w:t xml:space="preserve"> LS from SA2</w:t>
      </w:r>
      <w:r w:rsidR="00323FBD">
        <w:t xml:space="preserve"> </w:t>
      </w:r>
      <w:r w:rsidR="00323FBD">
        <w:fldChar w:fldCharType="begin"/>
      </w:r>
      <w:r w:rsidR="00323FBD">
        <w:instrText xml:space="preserve"> REF _Ref344096 \r \h </w:instrText>
      </w:r>
      <w:r w:rsidR="00323FBD">
        <w:fldChar w:fldCharType="separate"/>
      </w:r>
      <w:r w:rsidR="00323FBD">
        <w:t>[1]</w:t>
      </w:r>
      <w:r w:rsidR="00323FBD">
        <w:fldChar w:fldCharType="end"/>
      </w:r>
      <w:r w:rsidR="00323FBD">
        <w:t xml:space="preserve"> </w:t>
      </w:r>
      <w:r>
        <w:t xml:space="preserve">describing </w:t>
      </w:r>
      <w:r w:rsidR="002D1F4C">
        <w:t>new solutions for Non-Public Networks and request</w:t>
      </w:r>
      <w:r w:rsidR="00A62FCE">
        <w:t>ing</w:t>
      </w:r>
      <w:r w:rsidR="002D1F4C">
        <w:t xml:space="preserve"> RAN2 to address these features and standardize related functionality.</w:t>
      </w:r>
    </w:p>
    <w:p w14:paraId="08C8BE2F" w14:textId="67EDAE89" w:rsidR="00323FBD" w:rsidRDefault="00323FBD" w:rsidP="00A2052C">
      <w:r>
        <w:t>The TR from SA2 is 23.734, also appended to the LS.</w:t>
      </w:r>
    </w:p>
    <w:p w14:paraId="48C80E66" w14:textId="57C86A01" w:rsidR="00323FBD" w:rsidRDefault="00323FBD" w:rsidP="00A2052C">
      <w:r>
        <w:t xml:space="preserve">SA2 states: </w:t>
      </w:r>
    </w:p>
    <w:p w14:paraId="341738B5" w14:textId="77777777" w:rsidR="00323FBD" w:rsidRPr="00323FBD" w:rsidRDefault="00323FBD" w:rsidP="00323FBD">
      <w:pPr>
        <w:pStyle w:val="Header"/>
        <w:rPr>
          <w:rFonts w:ascii="Times New Roman" w:hAnsi="Times New Roman"/>
          <w:b w:val="0"/>
          <w:i/>
          <w:lang w:val="en-GB" w:eastAsia="en-US"/>
        </w:rPr>
      </w:pPr>
      <w:r w:rsidRPr="00323FBD">
        <w:rPr>
          <w:b w:val="0"/>
          <w:i/>
        </w:rPr>
        <w:t xml:space="preserve">SA2 has been studying support of Vertical and LAN Services (FS_Vertical_LAN) for Release 16. One objective of this study is to identify 5GS enhancements to support non-public networks (NPN). SA2 has concluded to select solutions #1 and #2 from TR 23.734 to enable non-public networks. </w:t>
      </w:r>
    </w:p>
    <w:p w14:paraId="79E73771" w14:textId="77777777" w:rsidR="00323FBD" w:rsidRPr="00323FBD" w:rsidRDefault="00323FBD" w:rsidP="00323FBD">
      <w:pPr>
        <w:pStyle w:val="Header"/>
        <w:rPr>
          <w:b w:val="0"/>
          <w:i/>
        </w:rPr>
      </w:pPr>
    </w:p>
    <w:p w14:paraId="3646D307" w14:textId="77777777" w:rsidR="00323FBD" w:rsidRPr="00323FBD" w:rsidRDefault="00323FBD" w:rsidP="00323FBD">
      <w:pPr>
        <w:pStyle w:val="Header"/>
        <w:rPr>
          <w:b w:val="0"/>
          <w:i/>
        </w:rPr>
      </w:pPr>
      <w:r w:rsidRPr="00323FBD">
        <w:rPr>
          <w:b w:val="0"/>
          <w:i/>
        </w:rPr>
        <w:t>SA2 would like to inform RAN working groups that SA2 has agreed a work item to specify the functionality of solution #1 and #2 that have impact to RAN2 and RAN3 specifications. SA2 would therefore like to request RAN working groups to take this into account and specify the related RAN functionality.</w:t>
      </w:r>
    </w:p>
    <w:p w14:paraId="561A7973" w14:textId="77777777" w:rsidR="00323FBD" w:rsidRDefault="00323FBD" w:rsidP="00323FBD">
      <w:pPr>
        <w:pStyle w:val="Header"/>
        <w:rPr>
          <w:bCs w:val="0"/>
        </w:rPr>
      </w:pPr>
    </w:p>
    <w:p w14:paraId="3D6CB46A" w14:textId="15CCCF7D" w:rsidR="002D1F4C" w:rsidRPr="00A2052C" w:rsidRDefault="00B272E0" w:rsidP="00A2052C">
      <w:r>
        <w:t xml:space="preserve">This contribution </w:t>
      </w:r>
      <w:r w:rsidR="00782968">
        <w:t>addresses</w:t>
      </w:r>
      <w:r>
        <w:t xml:space="preserve"> the </w:t>
      </w:r>
      <w:r w:rsidR="00FB66D3">
        <w:t xml:space="preserve">LS. We also note that since the LS was sent, there has been further development </w:t>
      </w:r>
      <w:r w:rsidR="004263A0">
        <w:t xml:space="preserve">(two endorsed CR’s from SA2 #130 </w:t>
      </w:r>
      <w:r w:rsidR="004263A0">
        <w:fldChar w:fldCharType="begin"/>
      </w:r>
      <w:r w:rsidR="004263A0">
        <w:instrText xml:space="preserve"> REF _Ref347158 \r \h </w:instrText>
      </w:r>
      <w:r w:rsidR="004263A0">
        <w:fldChar w:fldCharType="separate"/>
      </w:r>
      <w:r w:rsidR="004263A0">
        <w:t>[2]</w:t>
      </w:r>
      <w:r w:rsidR="004263A0">
        <w:fldChar w:fldCharType="end"/>
      </w:r>
      <w:r w:rsidR="004263A0">
        <w:t xml:space="preserve">, </w:t>
      </w:r>
      <w:r w:rsidR="004263A0">
        <w:fldChar w:fldCharType="begin"/>
      </w:r>
      <w:r w:rsidR="004263A0">
        <w:instrText xml:space="preserve"> REF _Ref383444 \r \h </w:instrText>
      </w:r>
      <w:r w:rsidR="004263A0">
        <w:fldChar w:fldCharType="separate"/>
      </w:r>
      <w:r w:rsidR="004263A0">
        <w:t>[3]</w:t>
      </w:r>
      <w:r w:rsidR="004263A0">
        <w:fldChar w:fldCharType="end"/>
      </w:r>
      <w:r w:rsidR="004263A0">
        <w:t xml:space="preserve">) </w:t>
      </w:r>
      <w:r w:rsidR="00FB66D3">
        <w:t xml:space="preserve">and there is now a later version of the </w:t>
      </w:r>
      <w:r w:rsidR="004263A0">
        <w:t>TR available</w:t>
      </w:r>
      <w:r w:rsidR="00D03C93">
        <w:t xml:space="preserve"> </w:t>
      </w:r>
      <w:r w:rsidR="00E66D85">
        <w:fldChar w:fldCharType="begin"/>
      </w:r>
      <w:r w:rsidR="00E66D85">
        <w:instrText xml:space="preserve"> REF _Ref962644 \r \h </w:instrText>
      </w:r>
      <w:r w:rsidR="00E66D85">
        <w:fldChar w:fldCharType="separate"/>
      </w:r>
      <w:r w:rsidR="00E66D85">
        <w:t>[4]</w:t>
      </w:r>
      <w:r w:rsidR="00E66D85">
        <w:fldChar w:fldCharType="end"/>
      </w:r>
      <w:r w:rsidR="004263A0">
        <w:t>. W</w:t>
      </w:r>
      <w:r w:rsidR="00782968">
        <w:t>e</w:t>
      </w:r>
      <w:r w:rsidR="004263A0">
        <w:t xml:space="preserve"> try to incorporate this recent development and propose questions / feedback to SA2. An associated </w:t>
      </w:r>
      <w:r w:rsidR="00782968">
        <w:t>LS is also submitted</w:t>
      </w:r>
      <w:r w:rsidR="006A3D59">
        <w:t xml:space="preserve"> </w:t>
      </w:r>
      <w:r w:rsidR="006A3D59">
        <w:fldChar w:fldCharType="begin"/>
      </w:r>
      <w:r w:rsidR="006A3D59">
        <w:instrText xml:space="preserve"> REF _Ref962865 \r \h </w:instrText>
      </w:r>
      <w:r w:rsidR="006A3D59">
        <w:fldChar w:fldCharType="separate"/>
      </w:r>
      <w:r w:rsidR="006A3D59">
        <w:t>[5]</w:t>
      </w:r>
      <w:r w:rsidR="006A3D59">
        <w:fldChar w:fldCharType="end"/>
      </w:r>
      <w:r w:rsidR="00782968">
        <w:t>.</w:t>
      </w:r>
    </w:p>
    <w:p w14:paraId="471E2692" w14:textId="4BDCC474" w:rsidR="004000E8" w:rsidRDefault="004000E8" w:rsidP="00CE0424">
      <w:pPr>
        <w:pStyle w:val="Heading1"/>
      </w:pPr>
      <w:bookmarkStart w:id="0" w:name="_Ref178064866"/>
      <w:r w:rsidRPr="00CE0424">
        <w:t>Discussion</w:t>
      </w:r>
      <w:bookmarkEnd w:id="0"/>
    </w:p>
    <w:p w14:paraId="6F697AC4" w14:textId="208D7508" w:rsidR="00957B64" w:rsidRDefault="00957B64" w:rsidP="00957B64">
      <w:r>
        <w:t>As stated in the LS, SA2 propose to progress two solutions for enabling non-public networks. In the TR referred to as solution #1 and solution #2. In the following, we indicate them as:</w:t>
      </w:r>
    </w:p>
    <w:p w14:paraId="7223B239" w14:textId="17FDA9D8" w:rsidR="00957B64" w:rsidRDefault="00957B64" w:rsidP="00957B64">
      <w:r>
        <w:t>Solution #1 – Stand-Alone solution – or SNPN for short</w:t>
      </w:r>
    </w:p>
    <w:p w14:paraId="5E6933D4" w14:textId="2752C2AF" w:rsidR="006A3D59" w:rsidRDefault="00957B64" w:rsidP="00957B64">
      <w:r>
        <w:t>Solution #2 – Closed Access Group – or CAG for short</w:t>
      </w:r>
    </w:p>
    <w:p w14:paraId="491CC801" w14:textId="2160A8CC" w:rsidR="00957B64" w:rsidRDefault="00957B64" w:rsidP="00ED662C">
      <w:pPr>
        <w:pStyle w:val="Heading2"/>
      </w:pPr>
      <w:r>
        <w:t>SNPN</w:t>
      </w:r>
    </w:p>
    <w:p w14:paraId="14385E39" w14:textId="0E80F24F" w:rsidR="00434CDB" w:rsidRDefault="00434CDB" w:rsidP="00434CDB">
      <w:r>
        <w:t xml:space="preserve">Our understanding of the SNPN solution is that it targets networks that are not relying on any network functions of a public network, a public PLMN. </w:t>
      </w:r>
    </w:p>
    <w:p w14:paraId="08084D09" w14:textId="6D40A987" w:rsidR="00F02EF0" w:rsidRDefault="00F02EF0" w:rsidP="00F02EF0">
      <w:r>
        <w:t xml:space="preserve">From the TR, we learn that it is expected from </w:t>
      </w:r>
      <w:r w:rsidR="00A469A6">
        <w:t>NG-RAN</w:t>
      </w:r>
      <w:r>
        <w:t xml:space="preserve"> that it provides additional system information, as listed in the table below:</w:t>
      </w:r>
    </w:p>
    <w:p w14:paraId="2647C7DB" w14:textId="4C2F67B9" w:rsidR="00441C14" w:rsidRDefault="00441C14" w:rsidP="00441C14">
      <w:pPr>
        <w:pStyle w:val="Proposal"/>
        <w:numPr>
          <w:ilvl w:val="0"/>
          <w:numId w:val="0"/>
        </w:numPr>
        <w:ind w:left="1701" w:hanging="1701"/>
      </w:pPr>
    </w:p>
    <w:tbl>
      <w:tblPr>
        <w:tblStyle w:val="TableGrid"/>
        <w:tblW w:w="0" w:type="auto"/>
        <w:tblInd w:w="1701" w:type="dxa"/>
        <w:tblLook w:val="04A0" w:firstRow="1" w:lastRow="0" w:firstColumn="1" w:lastColumn="0" w:noHBand="0" w:noVBand="1"/>
      </w:tblPr>
      <w:tblGrid>
        <w:gridCol w:w="2780"/>
        <w:gridCol w:w="5148"/>
      </w:tblGrid>
      <w:tr w:rsidR="002B799A" w14:paraId="119BD7E5" w14:textId="77777777" w:rsidTr="00754B60">
        <w:tc>
          <w:tcPr>
            <w:tcW w:w="7928" w:type="dxa"/>
            <w:gridSpan w:val="2"/>
          </w:tcPr>
          <w:p w14:paraId="208B0DC4" w14:textId="0394AC34" w:rsidR="002B799A" w:rsidRDefault="002B799A" w:rsidP="00001471">
            <w:pPr>
              <w:pStyle w:val="BodyText"/>
            </w:pPr>
            <w:bookmarkStart w:id="1" w:name="_Toc966809"/>
            <w:r>
              <w:t>Additional SI to support SNPN (according to 23.734)</w:t>
            </w:r>
            <w:bookmarkEnd w:id="1"/>
          </w:p>
        </w:tc>
      </w:tr>
      <w:tr w:rsidR="002B799A" w14:paraId="04A1BAE7" w14:textId="77777777" w:rsidTr="00754B60">
        <w:tc>
          <w:tcPr>
            <w:tcW w:w="2780" w:type="dxa"/>
          </w:tcPr>
          <w:p w14:paraId="22B62ECE" w14:textId="0D640A92" w:rsidR="002B799A" w:rsidRDefault="002B799A" w:rsidP="002B799A">
            <w:pPr>
              <w:pStyle w:val="BodyText"/>
            </w:pPr>
            <w:r>
              <w:t>PLMN ID</w:t>
            </w:r>
          </w:p>
        </w:tc>
        <w:tc>
          <w:tcPr>
            <w:tcW w:w="5148" w:type="dxa"/>
          </w:tcPr>
          <w:p w14:paraId="0759370E" w14:textId="35392B64" w:rsidR="002B799A" w:rsidRDefault="002B799A" w:rsidP="002B799A">
            <w:pPr>
              <w:pStyle w:val="BodyText"/>
            </w:pPr>
            <w:r>
              <w:rPr>
                <w:lang w:val="en-US"/>
              </w:rPr>
              <w:t>consisting of MCC 999 (assigned by ITU for private networks [14]) and an MNC defined by 3GPP to identify the cell as part of a non-public network</w:t>
            </w:r>
          </w:p>
        </w:tc>
      </w:tr>
      <w:tr w:rsidR="002B799A" w14:paraId="02BDC92D" w14:textId="77777777" w:rsidTr="00754B60">
        <w:tc>
          <w:tcPr>
            <w:tcW w:w="2780" w:type="dxa"/>
          </w:tcPr>
          <w:p w14:paraId="526F5AF9" w14:textId="41A8823D" w:rsidR="002B799A" w:rsidRDefault="002B799A" w:rsidP="002B799A">
            <w:pPr>
              <w:pStyle w:val="BodyText"/>
            </w:pPr>
            <w:proofErr w:type="spellStart"/>
            <w:r w:rsidRPr="005032EB">
              <w:rPr>
                <w:lang w:val="en-US"/>
              </w:rPr>
              <w:lastRenderedPageBreak/>
              <w:t>cellReservedForOtherUse</w:t>
            </w:r>
            <w:proofErr w:type="spellEnd"/>
          </w:p>
        </w:tc>
        <w:tc>
          <w:tcPr>
            <w:tcW w:w="5148" w:type="dxa"/>
          </w:tcPr>
          <w:p w14:paraId="09DAADA9" w14:textId="77777777" w:rsidR="002B799A" w:rsidRDefault="002B799A" w:rsidP="002B799A">
            <w:pPr>
              <w:pStyle w:val="BodyText"/>
              <w:rPr>
                <w:lang w:val="en-US"/>
              </w:rPr>
            </w:pPr>
            <w:r>
              <w:rPr>
                <w:lang w:val="en-US"/>
              </w:rPr>
              <w:t xml:space="preserve">(to prevent </w:t>
            </w:r>
            <w:proofErr w:type="gramStart"/>
            <w:r>
              <w:rPr>
                <w:lang w:val="en-US"/>
              </w:rPr>
              <w:t>non supporting</w:t>
            </w:r>
            <w:proofErr w:type="gramEnd"/>
            <w:r>
              <w:rPr>
                <w:lang w:val="en-US"/>
              </w:rPr>
              <w:t xml:space="preserve"> UEs from accessing the cell; </w:t>
            </w:r>
            <w:r w:rsidRPr="00685A78">
              <w:t>see also TS</w:t>
            </w:r>
            <w:r>
              <w:t> </w:t>
            </w:r>
            <w:r w:rsidRPr="00685A78">
              <w:t>38.304</w:t>
            </w:r>
            <w:r>
              <w:t> [8]</w:t>
            </w:r>
            <w:r w:rsidRPr="00685A78">
              <w:t>)</w:t>
            </w:r>
            <w:r>
              <w:rPr>
                <w:lang w:val="en-US"/>
              </w:rPr>
              <w:t xml:space="preserve">. UEs that support non-public networks consider a cell that broadcasts both the </w:t>
            </w:r>
            <w:proofErr w:type="spellStart"/>
            <w:r w:rsidRPr="00EC3201">
              <w:rPr>
                <w:lang w:val="en-US"/>
              </w:rPr>
              <w:t>cellReservedForOtherUse</w:t>
            </w:r>
            <w:proofErr w:type="spellEnd"/>
            <w:r>
              <w:rPr>
                <w:lang w:val="en-US"/>
              </w:rPr>
              <w:t xml:space="preserve"> and the n</w:t>
            </w:r>
            <w:r w:rsidRPr="009514B3">
              <w:rPr>
                <w:lang w:val="en-US"/>
              </w:rPr>
              <w:t>on-public network indication</w:t>
            </w:r>
            <w:r>
              <w:rPr>
                <w:lang w:val="en-US"/>
              </w:rPr>
              <w:t xml:space="preserve"> as not barred.</w:t>
            </w:r>
          </w:p>
          <w:p w14:paraId="1501D7BA" w14:textId="77777777" w:rsidR="002B799A" w:rsidRDefault="002B799A" w:rsidP="002B799A">
            <w:pPr>
              <w:pStyle w:val="BodyText"/>
              <w:rPr>
                <w:lang w:val="en-US"/>
              </w:rPr>
            </w:pPr>
          </w:p>
        </w:tc>
      </w:tr>
      <w:tr w:rsidR="002B799A" w14:paraId="1794098C" w14:textId="77777777" w:rsidTr="00754B60">
        <w:tc>
          <w:tcPr>
            <w:tcW w:w="2780" w:type="dxa"/>
          </w:tcPr>
          <w:p w14:paraId="6CCE24BE" w14:textId="0C622458" w:rsidR="002B799A" w:rsidRPr="005032EB" w:rsidRDefault="002B799A" w:rsidP="002B799A">
            <w:pPr>
              <w:pStyle w:val="BodyText"/>
              <w:rPr>
                <w:lang w:val="en-US"/>
              </w:rPr>
            </w:pPr>
            <w:r>
              <w:rPr>
                <w:lang w:val="en-US"/>
              </w:rPr>
              <w:t>NPN-ID</w:t>
            </w:r>
          </w:p>
        </w:tc>
        <w:tc>
          <w:tcPr>
            <w:tcW w:w="5148" w:type="dxa"/>
          </w:tcPr>
          <w:p w14:paraId="3B6472C7" w14:textId="253EFDC1" w:rsidR="002B799A" w:rsidRDefault="002B799A" w:rsidP="002B799A">
            <w:pPr>
              <w:pStyle w:val="BodyText"/>
              <w:rPr>
                <w:lang w:val="en-US"/>
              </w:rPr>
            </w:pPr>
            <w:r>
              <w:rPr>
                <w:lang w:val="en-US"/>
              </w:rPr>
              <w:t>List of NPN-IDs identifying the non-public networks the cell provides access to</w:t>
            </w:r>
          </w:p>
        </w:tc>
      </w:tr>
      <w:tr w:rsidR="002B799A" w14:paraId="07B491C7" w14:textId="77777777" w:rsidTr="00754B60">
        <w:tc>
          <w:tcPr>
            <w:tcW w:w="2780" w:type="dxa"/>
          </w:tcPr>
          <w:p w14:paraId="1D50B79F" w14:textId="78B94953" w:rsidR="002B799A" w:rsidRPr="005032EB" w:rsidRDefault="002B799A" w:rsidP="002B799A">
            <w:pPr>
              <w:pStyle w:val="BodyText"/>
              <w:rPr>
                <w:lang w:val="en-US"/>
              </w:rPr>
            </w:pPr>
            <w:r>
              <w:rPr>
                <w:lang w:val="en-US"/>
              </w:rPr>
              <w:t>HRN</w:t>
            </w:r>
          </w:p>
        </w:tc>
        <w:tc>
          <w:tcPr>
            <w:tcW w:w="5148" w:type="dxa"/>
          </w:tcPr>
          <w:p w14:paraId="006B0D92" w14:textId="77777777" w:rsidR="002B799A" w:rsidRDefault="002B799A" w:rsidP="002B799A">
            <w:pPr>
              <w:pStyle w:val="BodyText"/>
              <w:rPr>
                <w:lang w:val="en-US"/>
              </w:rPr>
            </w:pPr>
            <w:r w:rsidRPr="009514B3">
              <w:rPr>
                <w:lang w:val="en-US"/>
              </w:rPr>
              <w:t xml:space="preserve">(Optional) Human-readable network name (per </w:t>
            </w:r>
            <w:r>
              <w:rPr>
                <w:lang w:val="en-US"/>
              </w:rPr>
              <w:t>NPN-</w:t>
            </w:r>
            <w:r w:rsidRPr="009514B3">
              <w:rPr>
                <w:lang w:val="en-US"/>
              </w:rPr>
              <w:t>ID)</w:t>
            </w:r>
          </w:p>
          <w:p w14:paraId="3CA1011D" w14:textId="77777777" w:rsidR="002B799A" w:rsidRDefault="002B799A" w:rsidP="002B799A">
            <w:pPr>
              <w:pStyle w:val="BodyText"/>
              <w:rPr>
                <w:lang w:val="en-US"/>
              </w:rPr>
            </w:pPr>
          </w:p>
        </w:tc>
      </w:tr>
    </w:tbl>
    <w:p w14:paraId="20197407" w14:textId="77777777" w:rsidR="002B799A" w:rsidRDefault="002B799A" w:rsidP="00441C14">
      <w:pPr>
        <w:pStyle w:val="Proposal"/>
        <w:numPr>
          <w:ilvl w:val="0"/>
          <w:numId w:val="0"/>
        </w:numPr>
        <w:ind w:left="1701" w:hanging="1701"/>
      </w:pPr>
    </w:p>
    <w:p w14:paraId="5FD65351" w14:textId="23D9CC2E" w:rsidR="00441C14" w:rsidRDefault="00441C14" w:rsidP="002B799A">
      <w:pPr>
        <w:pStyle w:val="BodyText"/>
      </w:pPr>
      <w:r>
        <w:t xml:space="preserve">In a note in the TR, it is stated: </w:t>
      </w:r>
    </w:p>
    <w:p w14:paraId="0788B92F" w14:textId="02DA7F06" w:rsidR="00434CDB" w:rsidRDefault="00434CDB" w:rsidP="00434CDB">
      <w:pPr>
        <w:pStyle w:val="NO"/>
        <w:rPr>
          <w:i/>
        </w:rPr>
      </w:pPr>
      <w:r w:rsidRPr="00441C14">
        <w:rPr>
          <w:i/>
        </w:rPr>
        <w:t>NOTE 2:</w:t>
      </w:r>
      <w:r w:rsidRPr="00441C14">
        <w:rPr>
          <w:i/>
        </w:rPr>
        <w:tab/>
        <w:t>Which MNC to use for non-public networks is up to Stage 3 to define. Whether the full PLMN ID identifying non-public networks needs to be broadcasted or whether this can be further optimized in SIB is up to RAN2 and CT1 to decide.</w:t>
      </w:r>
    </w:p>
    <w:p w14:paraId="1347B0AC" w14:textId="64B485F2" w:rsidR="00441C14" w:rsidRDefault="00F71E0B" w:rsidP="002B799A">
      <w:pPr>
        <w:pStyle w:val="BodyText"/>
      </w:pPr>
      <w:r>
        <w:t xml:space="preserve">On this statement and from a broadcast perspective, </w:t>
      </w:r>
      <w:r w:rsidR="00441C14">
        <w:t xml:space="preserve">RAN 2 would need further information on </w:t>
      </w:r>
      <w:r w:rsidR="002B799A">
        <w:t>uniqueness of MNC to be able to judge if the MCC also needs to be broadcast.</w:t>
      </w:r>
    </w:p>
    <w:p w14:paraId="2559D558" w14:textId="6C7B302E" w:rsidR="002B799A" w:rsidRDefault="002B799A" w:rsidP="002B799A">
      <w:pPr>
        <w:pStyle w:val="Proposal"/>
      </w:pPr>
      <w:bookmarkStart w:id="2" w:name="_Toc966810"/>
      <w:bookmarkStart w:id="3" w:name="_Toc966860"/>
      <w:bookmarkStart w:id="4" w:name="_Toc966905"/>
      <w:bookmarkStart w:id="5" w:name="_Toc967420"/>
      <w:bookmarkStart w:id="6" w:name="_Toc967446"/>
      <w:bookmarkStart w:id="7" w:name="_Toc967468"/>
      <w:bookmarkStart w:id="8" w:name="_Toc974692"/>
      <w:bookmarkStart w:id="9" w:name="_Toc1058342"/>
      <w:bookmarkStart w:id="10" w:name="_Toc1071243"/>
      <w:r>
        <w:t xml:space="preserve">Include in </w:t>
      </w:r>
      <w:proofErr w:type="gramStart"/>
      <w:r>
        <w:t>an</w:t>
      </w:r>
      <w:proofErr w:type="gramEnd"/>
      <w:r>
        <w:t xml:space="preserve"> LS response to SA2</w:t>
      </w:r>
      <w:r w:rsidR="00437B55">
        <w:t xml:space="preserve"> (CT1, RAN3)</w:t>
      </w:r>
      <w:r>
        <w:t>, that RAN2 expect further information on selection of MNC and uniqueness thereof, to judge whether further SIB optimization would be possible.</w:t>
      </w:r>
      <w:bookmarkEnd w:id="2"/>
      <w:bookmarkEnd w:id="3"/>
      <w:bookmarkEnd w:id="4"/>
      <w:bookmarkEnd w:id="5"/>
      <w:bookmarkEnd w:id="6"/>
      <w:bookmarkEnd w:id="7"/>
      <w:bookmarkEnd w:id="8"/>
      <w:bookmarkEnd w:id="9"/>
      <w:bookmarkEnd w:id="10"/>
    </w:p>
    <w:p w14:paraId="16C51B26" w14:textId="77777777" w:rsidR="00D91028" w:rsidRDefault="00D91028" w:rsidP="00A7427F">
      <w:pPr>
        <w:pStyle w:val="BodyText"/>
      </w:pPr>
      <w:r>
        <w:t xml:space="preserve">One of the endorsed SA2 contributions in SA2 #130 include the following text proposal to 23.501: </w:t>
      </w:r>
    </w:p>
    <w:p w14:paraId="7C293ACA" w14:textId="77777777" w:rsidR="00E667D9" w:rsidRPr="00001471" w:rsidRDefault="00E667D9" w:rsidP="00E667D9">
      <w:pPr>
        <w:rPr>
          <w:rFonts w:ascii="Times New Roman" w:hAnsi="Times New Roman"/>
          <w:sz w:val="18"/>
          <w:highlight w:val="lightGray"/>
          <w:lang w:val="en-US" w:eastAsia="en-US"/>
        </w:rPr>
      </w:pPr>
      <w:r w:rsidRPr="00001471">
        <w:rPr>
          <w:sz w:val="18"/>
          <w:highlight w:val="lightGray"/>
        </w:rPr>
        <w:t>“</w:t>
      </w:r>
      <w:r w:rsidRPr="00001471">
        <w:rPr>
          <w:sz w:val="18"/>
          <w:highlight w:val="lightGray"/>
          <w:lang w:val="en-US"/>
        </w:rPr>
        <w:t>The NID shall support two assignment models:</w:t>
      </w:r>
    </w:p>
    <w:p w14:paraId="54C1593C" w14:textId="77777777" w:rsidR="00E667D9" w:rsidRPr="00001471" w:rsidRDefault="00E667D9" w:rsidP="00E667D9">
      <w:pPr>
        <w:pStyle w:val="B1"/>
        <w:rPr>
          <w:sz w:val="18"/>
          <w:highlight w:val="lightGray"/>
          <w:lang w:val="en-US"/>
        </w:rPr>
      </w:pPr>
      <w:r w:rsidRPr="00001471">
        <w:rPr>
          <w:sz w:val="18"/>
          <w:highlight w:val="lightGray"/>
          <w:lang w:val="en-US"/>
        </w:rPr>
        <w:t>-</w:t>
      </w:r>
      <w:r w:rsidRPr="00001471">
        <w:rPr>
          <w:sz w:val="18"/>
          <w:highlight w:val="lightGray"/>
          <w:lang w:val="en-US"/>
        </w:rPr>
        <w:tab/>
        <w:t>Locally managed NIDs are assumed to be chosen individually by SNPNs at deployment time (and may therefore not be unique in all scenarios)</w:t>
      </w:r>
    </w:p>
    <w:p w14:paraId="18892466" w14:textId="77777777" w:rsidR="00E667D9" w:rsidRPr="00001471" w:rsidRDefault="00E667D9" w:rsidP="00E667D9">
      <w:pPr>
        <w:pStyle w:val="B1"/>
        <w:rPr>
          <w:sz w:val="18"/>
          <w:highlight w:val="lightGray"/>
          <w:lang w:val="en-US"/>
        </w:rPr>
      </w:pPr>
      <w:r w:rsidRPr="00001471">
        <w:rPr>
          <w:sz w:val="18"/>
          <w:highlight w:val="lightGray"/>
          <w:lang w:val="en-US"/>
        </w:rPr>
        <w:t>-</w:t>
      </w:r>
      <w:r w:rsidRPr="00001471">
        <w:rPr>
          <w:sz w:val="18"/>
          <w:highlight w:val="lightGray"/>
          <w:lang w:val="en-US"/>
        </w:rPr>
        <w:tab/>
        <w:t>Universally managed NIDs are managed by a central entity per region and are assumed to be globally unique.</w:t>
      </w:r>
    </w:p>
    <w:p w14:paraId="6046091C" w14:textId="77777777" w:rsidR="00E667D9" w:rsidRPr="00001471" w:rsidRDefault="00E667D9" w:rsidP="00E667D9">
      <w:pPr>
        <w:pStyle w:val="NO"/>
        <w:rPr>
          <w:sz w:val="18"/>
          <w:highlight w:val="lightGray"/>
          <w:lang w:val="en-US"/>
        </w:rPr>
      </w:pPr>
      <w:r w:rsidRPr="00001471">
        <w:rPr>
          <w:sz w:val="18"/>
          <w:highlight w:val="lightGray"/>
          <w:lang w:val="en-US"/>
        </w:rPr>
        <w:t>NOTE 2:</w:t>
      </w:r>
      <w:r w:rsidRPr="00001471">
        <w:rPr>
          <w:sz w:val="18"/>
          <w:highlight w:val="lightGray"/>
          <w:lang w:val="en-US"/>
        </w:rPr>
        <w:tab/>
        <w:t xml:space="preserve">It is assumed that the number space for universally managed NIDs supports </w:t>
      </w:r>
      <w:proofErr w:type="spellStart"/>
      <w:r w:rsidRPr="00001471">
        <w:rPr>
          <w:sz w:val="18"/>
          <w:highlight w:val="lightGray"/>
          <w:lang w:val="en-US"/>
        </w:rPr>
        <w:t>indepedent</w:t>
      </w:r>
      <w:proofErr w:type="spellEnd"/>
      <w:r w:rsidRPr="00001471">
        <w:rPr>
          <w:sz w:val="18"/>
          <w:highlight w:val="lightGray"/>
          <w:lang w:val="en-US"/>
        </w:rPr>
        <w:t xml:space="preserve"> NID assignment for different region, i.e. the locally managed NID number space is assumed to be split into regions.</w:t>
      </w:r>
    </w:p>
    <w:p w14:paraId="79D86FE1" w14:textId="77777777" w:rsidR="00E667D9" w:rsidRPr="00001471" w:rsidRDefault="00E667D9" w:rsidP="00E667D9">
      <w:pPr>
        <w:pStyle w:val="NO"/>
        <w:rPr>
          <w:sz w:val="18"/>
          <w:highlight w:val="lightGray"/>
          <w:lang w:val="en-US"/>
        </w:rPr>
      </w:pPr>
      <w:r w:rsidRPr="00001471">
        <w:rPr>
          <w:sz w:val="18"/>
          <w:highlight w:val="lightGray"/>
          <w:lang w:val="en-US"/>
        </w:rPr>
        <w:t>NOTE 3:</w:t>
      </w:r>
      <w:r w:rsidRPr="00001471">
        <w:rPr>
          <w:sz w:val="18"/>
          <w:highlight w:val="lightGray"/>
          <w:lang w:val="en-US"/>
        </w:rPr>
        <w:tab/>
        <w:t>Which legal entity manages the number space is beyond the scope of this specification.</w:t>
      </w:r>
    </w:p>
    <w:p w14:paraId="7F48FC7A" w14:textId="77777777" w:rsidR="00E667D9" w:rsidRPr="00001471" w:rsidRDefault="00E667D9" w:rsidP="00E667D9">
      <w:pPr>
        <w:rPr>
          <w:sz w:val="18"/>
          <w:highlight w:val="lightGray"/>
          <w:lang w:val="en-US"/>
        </w:rPr>
      </w:pPr>
      <w:r w:rsidRPr="00001471">
        <w:rPr>
          <w:sz w:val="18"/>
          <w:highlight w:val="lightGray"/>
          <w:lang w:val="en-US"/>
        </w:rPr>
        <w:t xml:space="preserve">An optional human-readable network name helps to identify an SNPN during manual network selection. </w:t>
      </w:r>
    </w:p>
    <w:p w14:paraId="371F1833" w14:textId="182C9A2A" w:rsidR="00D91028" w:rsidRPr="00001471" w:rsidRDefault="00E667D9" w:rsidP="00A7427F">
      <w:pPr>
        <w:pStyle w:val="BodyText"/>
        <w:rPr>
          <w:sz w:val="18"/>
        </w:rPr>
      </w:pPr>
      <w:r w:rsidRPr="00001471">
        <w:rPr>
          <w:sz w:val="18"/>
          <w:highlight w:val="lightGray"/>
        </w:rPr>
        <w:t>”</w:t>
      </w:r>
    </w:p>
    <w:p w14:paraId="6EB42102" w14:textId="400628CC" w:rsidR="005E0F40" w:rsidRPr="008A18D4" w:rsidRDefault="00805FFD" w:rsidP="00001471">
      <w:pPr>
        <w:pStyle w:val="BodyText"/>
      </w:pPr>
      <w:r>
        <w:t>From this, it is</w:t>
      </w:r>
      <w:r w:rsidR="00603CE1">
        <w:t xml:space="preserve"> our understanding </w:t>
      </w:r>
      <w:r>
        <w:t xml:space="preserve">that </w:t>
      </w:r>
      <w:r w:rsidR="00BD0941">
        <w:t xml:space="preserve">two aggregate SNPN IDs </w:t>
      </w:r>
      <w:r w:rsidR="00E667D9">
        <w:t>(</w:t>
      </w:r>
      <w:r w:rsidR="0091354F">
        <w:t xml:space="preserve">combination of </w:t>
      </w:r>
      <w:r w:rsidR="00E667D9">
        <w:t xml:space="preserve">MCC, MNC, NID) </w:t>
      </w:r>
      <w:r>
        <w:t>can be identical but still not refer to the same non-public network.</w:t>
      </w:r>
      <w:r w:rsidR="00BD0941">
        <w:t xml:space="preserve"> If this is the correct understanding, it seems </w:t>
      </w:r>
      <w:r w:rsidR="00965FC2">
        <w:t>difficult to guaran</w:t>
      </w:r>
      <w:r w:rsidR="00043936">
        <w:t>tee that selection of SNPN will always work. T</w:t>
      </w:r>
      <w:r w:rsidR="00965FC2">
        <w:t>here seems to be cases when the UE has a combination of MCC, MNC and NID in the list of allowed NIDs, but still may not be allowed in the network.</w:t>
      </w:r>
      <w:r w:rsidR="006E7280">
        <w:t xml:space="preserve"> Even though this may not be an issue from a RAN2-perspective, </w:t>
      </w:r>
      <w:r w:rsidR="0013133E">
        <w:t xml:space="preserve">this relates to Non-Public Network Selection, it is worth pointing out that neither the </w:t>
      </w:r>
      <w:r w:rsidR="0096607A">
        <w:t>automatic nor the manual PLMN selection would necessarily work</w:t>
      </w:r>
      <w:r w:rsidR="00B17DD4">
        <w:t xml:space="preserve"> without</w:t>
      </w:r>
      <w:r w:rsidR="002D00CF">
        <w:t>, e.g., trial-error situations</w:t>
      </w:r>
      <w:r w:rsidR="0096607A">
        <w:t>. The manual selection</w:t>
      </w:r>
      <w:r w:rsidR="00995A07">
        <w:t xml:space="preserve"> may sometimes be helped by a </w:t>
      </w:r>
      <w:r w:rsidR="007057F1">
        <w:t xml:space="preserve">broadcast </w:t>
      </w:r>
      <w:r w:rsidR="00995A07">
        <w:t xml:space="preserve">HRN (when it </w:t>
      </w:r>
      <w:r w:rsidR="007057F1">
        <w:t xml:space="preserve">reveals networks that are not allowed) but not always. </w:t>
      </w:r>
      <w:r w:rsidR="002D00CF">
        <w:t>A cheaper way to p</w:t>
      </w:r>
      <w:r w:rsidR="007057F1">
        <w:t xml:space="preserve">rovide HRN information to the user in a manual selection scenario is to </w:t>
      </w:r>
      <w:r w:rsidR="005E0F40">
        <w:t xml:space="preserve">code it with the list of allowed NIDs in the UE. </w:t>
      </w:r>
      <w:bookmarkStart w:id="11" w:name="_Hlk1070471"/>
      <w:r w:rsidR="005E0F40">
        <w:t xml:space="preserve">While this is </w:t>
      </w:r>
      <w:r w:rsidR="005E0F40">
        <w:rPr>
          <w:rFonts w:cs="Arial"/>
        </w:rPr>
        <w:t>not completely avoiding trial-error situations either, it is saving broadcast information resources.</w:t>
      </w:r>
      <w:r w:rsidR="007F272E">
        <w:rPr>
          <w:rFonts w:cs="Arial"/>
        </w:rPr>
        <w:t xml:space="preserve"> </w:t>
      </w:r>
      <w:r w:rsidR="000A07DA">
        <w:rPr>
          <w:rFonts w:cs="Arial"/>
        </w:rPr>
        <w:t>W</w:t>
      </w:r>
      <w:r w:rsidR="007318DA">
        <w:rPr>
          <w:rFonts w:cs="Arial"/>
        </w:rPr>
        <w:t xml:space="preserve">e propose that coding HRN information in the UE is </w:t>
      </w:r>
      <w:r w:rsidR="003A6B2D">
        <w:rPr>
          <w:rFonts w:cs="Arial"/>
        </w:rPr>
        <w:t>preferable</w:t>
      </w:r>
      <w:r w:rsidR="007318DA">
        <w:rPr>
          <w:rFonts w:cs="Arial"/>
        </w:rPr>
        <w:t>. RAN2 should</w:t>
      </w:r>
      <w:r w:rsidR="005E0F40">
        <w:rPr>
          <w:rFonts w:cs="Arial"/>
        </w:rPr>
        <w:t xml:space="preserve"> request SA2 </w:t>
      </w:r>
      <w:r w:rsidR="007318DA">
        <w:rPr>
          <w:rFonts w:cs="Arial"/>
        </w:rPr>
        <w:t xml:space="preserve">to </w:t>
      </w:r>
      <w:r w:rsidR="005E0F40">
        <w:rPr>
          <w:rFonts w:cs="Arial"/>
        </w:rPr>
        <w:t xml:space="preserve">discuss </w:t>
      </w:r>
      <w:r w:rsidR="007318DA">
        <w:rPr>
          <w:rFonts w:cs="Arial"/>
        </w:rPr>
        <w:t xml:space="preserve">the </w:t>
      </w:r>
      <w:r w:rsidR="005E0F40">
        <w:rPr>
          <w:rFonts w:cs="Arial"/>
        </w:rPr>
        <w:t>alternative solution to store mapping in UE to get HRN information</w:t>
      </w:r>
      <w:r w:rsidR="007318DA">
        <w:rPr>
          <w:rFonts w:cs="Arial"/>
        </w:rPr>
        <w:t xml:space="preserve"> instead of broadcast.</w:t>
      </w:r>
    </w:p>
    <w:bookmarkEnd w:id="11"/>
    <w:p w14:paraId="19DB8CAF" w14:textId="10531710" w:rsidR="00176B7A" w:rsidRDefault="00176B7A" w:rsidP="00A7427F">
      <w:pPr>
        <w:pStyle w:val="BodyText"/>
      </w:pPr>
    </w:p>
    <w:p w14:paraId="3A713DD7" w14:textId="26B022B3" w:rsidR="00C41D34" w:rsidRDefault="008E50DB" w:rsidP="00C41D34">
      <w:pPr>
        <w:pStyle w:val="Proposal"/>
      </w:pPr>
      <w:bookmarkStart w:id="12" w:name="_Toc966811"/>
      <w:bookmarkStart w:id="13" w:name="_Toc966861"/>
      <w:bookmarkStart w:id="14" w:name="_Toc966906"/>
      <w:bookmarkStart w:id="15" w:name="_Toc967421"/>
      <w:bookmarkStart w:id="16" w:name="_Toc967447"/>
      <w:bookmarkStart w:id="17" w:name="_Toc967469"/>
      <w:bookmarkStart w:id="18" w:name="_Toc974693"/>
      <w:bookmarkStart w:id="19" w:name="_Toc1058343"/>
      <w:bookmarkStart w:id="20" w:name="_Toc1071244"/>
      <w:r>
        <w:t xml:space="preserve">Include in </w:t>
      </w:r>
      <w:proofErr w:type="gramStart"/>
      <w:r>
        <w:t>an</w:t>
      </w:r>
      <w:proofErr w:type="gramEnd"/>
      <w:r>
        <w:t xml:space="preserve"> LS response to SA2 (CT1, RAN3)</w:t>
      </w:r>
      <w:r w:rsidR="00B513D1">
        <w:t xml:space="preserve">, a request for clarification on if the locally managed NIDs can result in that the combination of MCC, MNC and NID is not necessarily uniquely identifying a </w:t>
      </w:r>
      <w:r w:rsidR="00C41D34">
        <w:t>specific Non-Public Network</w:t>
      </w:r>
      <w:r w:rsidR="00673EA8">
        <w:t>.</w:t>
      </w:r>
      <w:bookmarkEnd w:id="12"/>
      <w:bookmarkEnd w:id="13"/>
      <w:bookmarkEnd w:id="14"/>
      <w:bookmarkEnd w:id="15"/>
      <w:bookmarkEnd w:id="16"/>
      <w:bookmarkEnd w:id="17"/>
      <w:bookmarkEnd w:id="18"/>
      <w:bookmarkEnd w:id="19"/>
      <w:r w:rsidR="003A6B2D">
        <w:t xml:space="preserve"> Further </w:t>
      </w:r>
      <w:r w:rsidR="002B2207">
        <w:t xml:space="preserve">ask SA2 to consider alternatives to broadcast HRN. One alternative is to store HRN-information </w:t>
      </w:r>
      <w:r w:rsidR="00C13B85">
        <w:t>together with allowed NID information in the UE. This does not guarantee that trial-error situations don’t occur, but it avoids broadcast.</w:t>
      </w:r>
      <w:bookmarkEnd w:id="20"/>
    </w:p>
    <w:p w14:paraId="683906CE" w14:textId="77777777" w:rsidR="00781405" w:rsidRDefault="00781405" w:rsidP="00A7427F">
      <w:pPr>
        <w:pStyle w:val="BodyText"/>
      </w:pPr>
    </w:p>
    <w:p w14:paraId="638909EF" w14:textId="54A0A736" w:rsidR="00A7427F" w:rsidRDefault="00A7427F" w:rsidP="00A7427F">
      <w:pPr>
        <w:pStyle w:val="BodyText"/>
      </w:pPr>
      <w:r>
        <w:lastRenderedPageBreak/>
        <w:t xml:space="preserve">One aspect that is not clear </w:t>
      </w:r>
      <w:r w:rsidR="00673EA8">
        <w:t xml:space="preserve">from the TR (or the </w:t>
      </w:r>
      <w:r w:rsidR="00836022">
        <w:t xml:space="preserve">SA2 #130 contributions referenced) </w:t>
      </w:r>
      <w:r>
        <w:t>is whether it would be allowed to use NPN ID together with a public PLMN ID and in that case, how the UE should understand such an indication NPN ID? In addition, it is not clear if, in a cell</w:t>
      </w:r>
      <w:r w:rsidR="00D3288D">
        <w:t>, there</w:t>
      </w:r>
      <w:r>
        <w:t xml:space="preserve"> can be </w:t>
      </w:r>
      <w:r>
        <w:rPr>
          <w:i/>
        </w:rPr>
        <w:t xml:space="preserve">two or more </w:t>
      </w:r>
      <w:r>
        <w:t xml:space="preserve">PLMN ID’s that are associated with different or the same NPN ID? </w:t>
      </w:r>
      <w:r w:rsidR="00BD4BE9">
        <w:t>This is, again from a broadcast perspective, interesting to understand to RAN2.</w:t>
      </w:r>
    </w:p>
    <w:p w14:paraId="3B8802DF" w14:textId="5246070B" w:rsidR="00A7427F" w:rsidRDefault="00A7427F" w:rsidP="00A7427F">
      <w:pPr>
        <w:pStyle w:val="BodyText"/>
      </w:pPr>
      <w:r>
        <w:t>It is proposed to request further information from SA2 on this topic, as it may affect how coding of NPN lists may be done, i.e., whether it needs to be connected to specific PLMN’s or not.</w:t>
      </w:r>
    </w:p>
    <w:p w14:paraId="2EFB2409" w14:textId="323B926B" w:rsidR="00430613" w:rsidRDefault="008E50DB" w:rsidP="00430613">
      <w:pPr>
        <w:pStyle w:val="Proposal"/>
      </w:pPr>
      <w:bookmarkStart w:id="21" w:name="_Toc966812"/>
      <w:bookmarkStart w:id="22" w:name="_Toc966862"/>
      <w:bookmarkStart w:id="23" w:name="_Toc966907"/>
      <w:bookmarkStart w:id="24" w:name="_Toc967422"/>
      <w:bookmarkStart w:id="25" w:name="_Toc967448"/>
      <w:bookmarkStart w:id="26" w:name="_Toc967470"/>
      <w:bookmarkStart w:id="27" w:name="_Toc974694"/>
      <w:bookmarkStart w:id="28" w:name="_Toc1058344"/>
      <w:bookmarkStart w:id="29" w:name="_Toc1071245"/>
      <w:r>
        <w:t xml:space="preserve">Include in </w:t>
      </w:r>
      <w:proofErr w:type="gramStart"/>
      <w:r>
        <w:t>an</w:t>
      </w:r>
      <w:proofErr w:type="gramEnd"/>
      <w:r>
        <w:t xml:space="preserve"> LS response to SA2 (CT1, RAN3)</w:t>
      </w:r>
      <w:r w:rsidR="00430613">
        <w:t>, that RAN2 need further information on:</w:t>
      </w:r>
      <w:bookmarkEnd w:id="21"/>
      <w:bookmarkEnd w:id="22"/>
      <w:bookmarkEnd w:id="23"/>
      <w:bookmarkEnd w:id="24"/>
      <w:bookmarkEnd w:id="25"/>
      <w:bookmarkEnd w:id="26"/>
      <w:bookmarkEnd w:id="27"/>
      <w:bookmarkEnd w:id="28"/>
      <w:bookmarkEnd w:id="29"/>
    </w:p>
    <w:p w14:paraId="09569690" w14:textId="77777777" w:rsidR="00430613" w:rsidRDefault="00430613" w:rsidP="00430613">
      <w:pPr>
        <w:pStyle w:val="Proposal"/>
        <w:numPr>
          <w:ilvl w:val="0"/>
          <w:numId w:val="0"/>
        </w:numPr>
        <w:ind w:left="1701"/>
      </w:pPr>
      <w:bookmarkStart w:id="30" w:name="_Toc966813"/>
      <w:bookmarkStart w:id="31" w:name="_Toc966863"/>
      <w:bookmarkStart w:id="32" w:name="_Toc966908"/>
      <w:bookmarkStart w:id="33" w:name="_Toc967423"/>
      <w:bookmarkStart w:id="34" w:name="_Toc967449"/>
      <w:bookmarkStart w:id="35" w:name="_Toc967471"/>
      <w:bookmarkStart w:id="36" w:name="_Toc974695"/>
      <w:bookmarkStart w:id="37" w:name="_Toc1058345"/>
      <w:bookmarkStart w:id="38" w:name="_Toc1071246"/>
      <w:r>
        <w:t>A) If an NPN ID can be associated with a public PLMN ID</w:t>
      </w:r>
      <w:bookmarkEnd w:id="30"/>
      <w:bookmarkEnd w:id="31"/>
      <w:bookmarkEnd w:id="32"/>
      <w:bookmarkEnd w:id="33"/>
      <w:bookmarkEnd w:id="34"/>
      <w:bookmarkEnd w:id="35"/>
      <w:bookmarkEnd w:id="36"/>
      <w:bookmarkEnd w:id="37"/>
      <w:bookmarkEnd w:id="38"/>
    </w:p>
    <w:p w14:paraId="3C0F796A" w14:textId="1AB0CAFA" w:rsidR="00430613" w:rsidRDefault="001078CF" w:rsidP="00430613">
      <w:pPr>
        <w:pStyle w:val="Proposal"/>
        <w:numPr>
          <w:ilvl w:val="0"/>
          <w:numId w:val="0"/>
        </w:numPr>
        <w:ind w:left="1701"/>
      </w:pPr>
      <w:bookmarkStart w:id="39" w:name="_Toc966814"/>
      <w:bookmarkStart w:id="40" w:name="_Toc966864"/>
      <w:bookmarkStart w:id="41" w:name="_Toc966909"/>
      <w:bookmarkStart w:id="42" w:name="_Toc967424"/>
      <w:bookmarkStart w:id="43" w:name="_Toc967450"/>
      <w:bookmarkStart w:id="44" w:name="_Toc967472"/>
      <w:bookmarkStart w:id="45" w:name="_Toc974696"/>
      <w:bookmarkStart w:id="46" w:name="_Toc1058346"/>
      <w:bookmarkStart w:id="47" w:name="_Toc1071247"/>
      <w:r>
        <w:t>B</w:t>
      </w:r>
      <w:r w:rsidR="00430613">
        <w:t>) If, in the same cell, there can be an NPN ID that is associated with several PLMN ID.</w:t>
      </w:r>
      <w:bookmarkEnd w:id="39"/>
      <w:bookmarkEnd w:id="40"/>
      <w:bookmarkEnd w:id="41"/>
      <w:bookmarkEnd w:id="42"/>
      <w:bookmarkEnd w:id="43"/>
      <w:bookmarkEnd w:id="44"/>
      <w:bookmarkEnd w:id="45"/>
      <w:bookmarkEnd w:id="46"/>
      <w:bookmarkEnd w:id="47"/>
    </w:p>
    <w:p w14:paraId="2C3B6B69" w14:textId="019E66BE" w:rsidR="00430613" w:rsidRDefault="001078CF" w:rsidP="00430613">
      <w:pPr>
        <w:pStyle w:val="Proposal"/>
        <w:numPr>
          <w:ilvl w:val="0"/>
          <w:numId w:val="0"/>
        </w:numPr>
        <w:ind w:left="1701"/>
      </w:pPr>
      <w:bookmarkStart w:id="48" w:name="_Toc966815"/>
      <w:bookmarkStart w:id="49" w:name="_Toc966865"/>
      <w:bookmarkStart w:id="50" w:name="_Toc966910"/>
      <w:bookmarkStart w:id="51" w:name="_Toc967425"/>
      <w:bookmarkStart w:id="52" w:name="_Toc967451"/>
      <w:bookmarkStart w:id="53" w:name="_Toc967473"/>
      <w:bookmarkStart w:id="54" w:name="_Toc974697"/>
      <w:bookmarkStart w:id="55" w:name="_Toc1058347"/>
      <w:bookmarkStart w:id="56" w:name="_Toc1071248"/>
      <w:r>
        <w:t>C</w:t>
      </w:r>
      <w:r w:rsidR="00430613">
        <w:t>) If, in the same cell, there can be several NPN ID’s, each associated with different PLMN ID’s.</w:t>
      </w:r>
      <w:bookmarkEnd w:id="48"/>
      <w:bookmarkEnd w:id="49"/>
      <w:bookmarkEnd w:id="50"/>
      <w:bookmarkEnd w:id="51"/>
      <w:bookmarkEnd w:id="52"/>
      <w:bookmarkEnd w:id="53"/>
      <w:bookmarkEnd w:id="54"/>
      <w:bookmarkEnd w:id="55"/>
      <w:bookmarkEnd w:id="56"/>
    </w:p>
    <w:p w14:paraId="117E17B9" w14:textId="433D1DA8" w:rsidR="00434CDB" w:rsidRDefault="00F02EF0" w:rsidP="00F02EF0">
      <w:pPr>
        <w:pStyle w:val="B2"/>
        <w:ind w:left="0" w:firstLine="0"/>
        <w:rPr>
          <w:lang w:val="en-US"/>
        </w:rPr>
      </w:pPr>
      <w:r>
        <w:rPr>
          <w:lang w:val="en-US"/>
        </w:rPr>
        <w:t>It is further described</w:t>
      </w:r>
      <w:r w:rsidR="00D3288D">
        <w:rPr>
          <w:lang w:val="en-US"/>
        </w:rPr>
        <w:t xml:space="preserve"> by SA2</w:t>
      </w:r>
      <w:r>
        <w:rPr>
          <w:lang w:val="en-US"/>
        </w:rPr>
        <w:t xml:space="preserve"> that the UE performs </w:t>
      </w:r>
      <w:r w:rsidR="00434CDB" w:rsidRPr="004A5FA4">
        <w:rPr>
          <w:lang w:val="en-US"/>
        </w:rPr>
        <w:t xml:space="preserve">network selection between </w:t>
      </w:r>
      <w:proofErr w:type="spellStart"/>
      <w:r w:rsidR="00434CDB" w:rsidRPr="004A5FA4">
        <w:rPr>
          <w:lang w:val="en-US"/>
        </w:rPr>
        <w:t>gNBs</w:t>
      </w:r>
      <w:proofErr w:type="spellEnd"/>
      <w:r w:rsidR="00434CDB" w:rsidRPr="004A5FA4">
        <w:rPr>
          <w:lang w:val="en-US"/>
        </w:rPr>
        <w:t xml:space="preserve"> broadcasting different </w:t>
      </w:r>
      <w:r w:rsidR="00434CDB">
        <w:rPr>
          <w:lang w:val="en-US"/>
        </w:rPr>
        <w:t>NPN-</w:t>
      </w:r>
      <w:r w:rsidR="00434CDB" w:rsidRPr="004A5FA4">
        <w:rPr>
          <w:lang w:val="en-US"/>
        </w:rPr>
        <w:t>IDs</w:t>
      </w:r>
      <w:r>
        <w:rPr>
          <w:lang w:val="en-US"/>
        </w:rPr>
        <w:t xml:space="preserve">. Our understanding is then that </w:t>
      </w:r>
      <w:r w:rsidR="00A7427F">
        <w:rPr>
          <w:lang w:val="en-US"/>
        </w:rPr>
        <w:t xml:space="preserve">the selection of a specific </w:t>
      </w:r>
      <w:r w:rsidR="00DD0D7B">
        <w:rPr>
          <w:lang w:val="en-US"/>
        </w:rPr>
        <w:t>S</w:t>
      </w:r>
      <w:r w:rsidR="00A7427F">
        <w:rPr>
          <w:lang w:val="en-US"/>
        </w:rPr>
        <w:t>NPN is a non-AS procedure and that, in a similar way as for PLMN selection, from UE AS perspective, it is only requested that UE report detected NPN-IDs to UE NAS and then UE-NAS selects an NPN-ID.</w:t>
      </w:r>
    </w:p>
    <w:p w14:paraId="34BB299C" w14:textId="797F0EA7" w:rsidR="00A7427F" w:rsidRDefault="00A7427F" w:rsidP="00F02EF0">
      <w:pPr>
        <w:pStyle w:val="B2"/>
        <w:ind w:left="0" w:firstLine="0"/>
        <w:rPr>
          <w:lang w:val="en-US"/>
        </w:rPr>
      </w:pPr>
      <w:r>
        <w:rPr>
          <w:lang w:val="en-US"/>
        </w:rPr>
        <w:t>If this is correct understanding,</w:t>
      </w:r>
      <w:r w:rsidR="00DD0D7B">
        <w:rPr>
          <w:lang w:val="en-US"/>
        </w:rPr>
        <w:t xml:space="preserve"> this would suggest that </w:t>
      </w:r>
      <w:r>
        <w:rPr>
          <w:lang w:val="en-US"/>
        </w:rPr>
        <w:t xml:space="preserve">changes to </w:t>
      </w:r>
      <w:r w:rsidR="00E353A5">
        <w:rPr>
          <w:lang w:val="en-US"/>
        </w:rPr>
        <w:t xml:space="preserve">TS </w:t>
      </w:r>
      <w:r>
        <w:rPr>
          <w:lang w:val="en-US"/>
        </w:rPr>
        <w:t xml:space="preserve">38.304 would only be needed to describe the additional information NPN-ID in relation to PLMN selection procedure. The procedures for cell selection and re-selection </w:t>
      </w:r>
      <w:r w:rsidR="00A46F35">
        <w:rPr>
          <w:lang w:val="en-US"/>
        </w:rPr>
        <w:t xml:space="preserve">from Release 15 and public networks </w:t>
      </w:r>
      <w:r>
        <w:rPr>
          <w:lang w:val="en-US"/>
        </w:rPr>
        <w:t xml:space="preserve">should </w:t>
      </w:r>
      <w:r w:rsidR="00A46F35">
        <w:rPr>
          <w:lang w:val="en-US"/>
        </w:rPr>
        <w:t>work also for SNPN.</w:t>
      </w:r>
    </w:p>
    <w:p w14:paraId="56DCE66E" w14:textId="66D55E2B" w:rsidR="00A7427F" w:rsidRDefault="00A7427F" w:rsidP="00A7427F">
      <w:pPr>
        <w:pStyle w:val="Observation"/>
      </w:pPr>
      <w:bookmarkStart w:id="57" w:name="_Toc966793"/>
      <w:bookmarkStart w:id="58" w:name="_Toc967418"/>
      <w:bookmarkStart w:id="59" w:name="_Toc1058336"/>
      <w:bookmarkStart w:id="60" w:name="_Toc1071240"/>
      <w:r>
        <w:t xml:space="preserve">Changes to 38.304 related to SNPN can be made such that PLMN selection instead becomes PLMN/NPN-ID selection. Then, cell selection/reselection procedures </w:t>
      </w:r>
      <w:proofErr w:type="gramStart"/>
      <w:r>
        <w:t>does</w:t>
      </w:r>
      <w:proofErr w:type="gramEnd"/>
      <w:r>
        <w:t xml:space="preserve"> not need to change.</w:t>
      </w:r>
      <w:bookmarkEnd w:id="57"/>
      <w:bookmarkEnd w:id="58"/>
      <w:bookmarkEnd w:id="59"/>
      <w:bookmarkEnd w:id="60"/>
    </w:p>
    <w:p w14:paraId="228A8E4F" w14:textId="38823BC0" w:rsidR="006C5832" w:rsidRDefault="006C5832" w:rsidP="006C5832">
      <w:pPr>
        <w:pStyle w:val="Observation"/>
        <w:numPr>
          <w:ilvl w:val="0"/>
          <w:numId w:val="0"/>
        </w:numPr>
        <w:ind w:left="1701" w:hanging="1701"/>
      </w:pPr>
    </w:p>
    <w:p w14:paraId="7DCF7995" w14:textId="44EE13C1" w:rsidR="00CE1BBB" w:rsidRDefault="008E50DB" w:rsidP="00001471">
      <w:pPr>
        <w:pStyle w:val="Proposal"/>
      </w:pPr>
      <w:bookmarkStart w:id="61" w:name="_Toc974698"/>
      <w:bookmarkStart w:id="62" w:name="_Toc1058348"/>
      <w:bookmarkStart w:id="63" w:name="_Toc1071249"/>
      <w:bookmarkStart w:id="64" w:name="_Toc966816"/>
      <w:bookmarkStart w:id="65" w:name="_Toc966866"/>
      <w:bookmarkStart w:id="66" w:name="_Toc966911"/>
      <w:bookmarkStart w:id="67" w:name="_Toc967426"/>
      <w:bookmarkStart w:id="68" w:name="_Toc967452"/>
      <w:bookmarkStart w:id="69" w:name="_Toc967474"/>
      <w:r>
        <w:t xml:space="preserve">Include in </w:t>
      </w:r>
      <w:proofErr w:type="gramStart"/>
      <w:r>
        <w:t>an</w:t>
      </w:r>
      <w:proofErr w:type="gramEnd"/>
      <w:r>
        <w:t xml:space="preserve"> LS response to SA2 (CT1, RAN3), </w:t>
      </w:r>
      <w:r w:rsidR="00A21AB3">
        <w:t xml:space="preserve">that it is RAN2 view that AS actions related to cell </w:t>
      </w:r>
      <w:r w:rsidR="00236BDD">
        <w:t>s</w:t>
      </w:r>
      <w:r w:rsidR="00A21AB3">
        <w:t>election/reselection are not impacted.</w:t>
      </w:r>
      <w:bookmarkEnd w:id="61"/>
      <w:bookmarkEnd w:id="62"/>
      <w:bookmarkEnd w:id="63"/>
      <w:r w:rsidR="00A21AB3">
        <w:t xml:space="preserve"> </w:t>
      </w:r>
      <w:bookmarkEnd w:id="64"/>
      <w:bookmarkEnd w:id="65"/>
      <w:bookmarkEnd w:id="66"/>
      <w:bookmarkEnd w:id="67"/>
      <w:bookmarkEnd w:id="68"/>
      <w:bookmarkEnd w:id="69"/>
    </w:p>
    <w:p w14:paraId="3E94DA71" w14:textId="77777777" w:rsidR="00A46D03" w:rsidRDefault="00A46D03" w:rsidP="00F767DF">
      <w:pPr>
        <w:pStyle w:val="BodyText"/>
      </w:pPr>
    </w:p>
    <w:p w14:paraId="241F8EB3" w14:textId="647383D1" w:rsidR="00A052C5" w:rsidRPr="00F767DF" w:rsidRDefault="00A052C5" w:rsidP="00F767DF">
      <w:pPr>
        <w:pStyle w:val="BodyText"/>
      </w:pPr>
      <w:r w:rsidRPr="00F767DF">
        <w:t xml:space="preserve">It is stated in </w:t>
      </w:r>
      <w:r w:rsidR="00122AF2">
        <w:t xml:space="preserve">an </w:t>
      </w:r>
      <w:r w:rsidRPr="00F767DF">
        <w:t xml:space="preserve">endorsed CR </w:t>
      </w:r>
      <w:r w:rsidR="00122AF2">
        <w:t xml:space="preserve">in </w:t>
      </w:r>
      <w:r w:rsidRPr="00F767DF">
        <w:t xml:space="preserve">SA2 #130 that: </w:t>
      </w:r>
    </w:p>
    <w:p w14:paraId="4F3DA88B" w14:textId="7B6F5902" w:rsidR="00434CDB" w:rsidRPr="00A052C5" w:rsidRDefault="00434CDB" w:rsidP="00A052C5">
      <w:pPr>
        <w:pStyle w:val="BodyText"/>
        <w:rPr>
          <w:i/>
          <w:noProof/>
        </w:rPr>
      </w:pPr>
      <w:r w:rsidRPr="00A052C5">
        <w:rPr>
          <w:rFonts w:eastAsia="MS Mincho"/>
          <w:i/>
          <w:highlight w:val="lightGray"/>
        </w:rPr>
        <w:t xml:space="preserve">When a UE performs Initial Registration to an SNPN, the UE shall indicate the selected NID </w:t>
      </w:r>
      <w:bookmarkStart w:id="70" w:name="_Hlk536026089"/>
      <w:r w:rsidRPr="00A052C5">
        <w:rPr>
          <w:rFonts w:eastAsia="MS Mincho"/>
          <w:i/>
          <w:highlight w:val="lightGray"/>
        </w:rPr>
        <w:t>and the corresponding PLMN ID</w:t>
      </w:r>
      <w:bookmarkEnd w:id="70"/>
      <w:r w:rsidRPr="00A052C5">
        <w:rPr>
          <w:rFonts w:eastAsia="MS Mincho"/>
          <w:i/>
          <w:highlight w:val="lightGray"/>
        </w:rPr>
        <w:t xml:space="preserve"> to NG-RAN. NG-RAN shall inform the AMF of the selected PLMN ID and NID.</w:t>
      </w:r>
      <w:r w:rsidRPr="00A052C5">
        <w:rPr>
          <w:i/>
          <w:noProof/>
          <w:highlight w:val="lightGray"/>
        </w:rPr>
        <w:t>5.X.2.5</w:t>
      </w:r>
    </w:p>
    <w:p w14:paraId="0B77CE3E" w14:textId="79B695CA" w:rsidR="00434CDB" w:rsidRDefault="00122AF2" w:rsidP="00434CDB">
      <w:pPr>
        <w:rPr>
          <w:noProof/>
        </w:rPr>
      </w:pPr>
      <w:r>
        <w:rPr>
          <w:noProof/>
        </w:rPr>
        <w:t>It is our understanding that, from a</w:t>
      </w:r>
      <w:r w:rsidR="00A469A6">
        <w:rPr>
          <w:noProof/>
        </w:rPr>
        <w:t>n NG-</w:t>
      </w:r>
      <w:r>
        <w:rPr>
          <w:noProof/>
        </w:rPr>
        <w:t xml:space="preserve">RAN perspective, also in this case it is the PLMN ID + NID (NPN ID) that replaces the PLMN ID. Thus, the UE should forward the selected PLMN ID and the NID in msg5. </w:t>
      </w:r>
    </w:p>
    <w:p w14:paraId="25718045" w14:textId="13AD2237" w:rsidR="00434CDB" w:rsidRDefault="00122AF2" w:rsidP="00434CDB">
      <w:pPr>
        <w:pStyle w:val="Observation"/>
      </w:pPr>
      <w:bookmarkStart w:id="71" w:name="_Toc966795"/>
      <w:bookmarkStart w:id="72" w:name="_Toc967419"/>
      <w:bookmarkStart w:id="73" w:name="_Toc1058337"/>
      <w:bookmarkStart w:id="74" w:name="_Toc1071241"/>
      <w:r>
        <w:t>UE’s should include PLMN ID and NID in msg5 in an initial registration procedure.</w:t>
      </w:r>
      <w:bookmarkEnd w:id="71"/>
      <w:bookmarkEnd w:id="72"/>
      <w:bookmarkEnd w:id="73"/>
      <w:bookmarkEnd w:id="74"/>
    </w:p>
    <w:p w14:paraId="095E3CCE" w14:textId="77777777" w:rsidR="00EF5916" w:rsidRDefault="00EF5916" w:rsidP="008C14B2">
      <w:pPr>
        <w:pStyle w:val="B2"/>
        <w:ind w:left="0" w:firstLine="0"/>
      </w:pPr>
    </w:p>
    <w:p w14:paraId="1DDEF3F1" w14:textId="111454D2" w:rsidR="008C14B2" w:rsidRDefault="008C14B2" w:rsidP="008C14B2">
      <w:pPr>
        <w:pStyle w:val="B2"/>
        <w:ind w:left="0" w:firstLine="0"/>
        <w:rPr>
          <w:lang w:val="en-US"/>
        </w:rPr>
      </w:pPr>
      <w:r>
        <w:rPr>
          <w:lang w:val="en-US"/>
        </w:rPr>
        <w:t>In NR Release 15, it is possible to assign different TACs and different cell Identities per PLMN. This has been introduced to avoid the necessity to coordinate identifiers among operators of different PLMNs sharing use of a</w:t>
      </w:r>
      <w:r w:rsidR="00A469A6">
        <w:rPr>
          <w:lang w:val="en-US"/>
        </w:rPr>
        <w:t>n NG-</w:t>
      </w:r>
      <w:r>
        <w:rPr>
          <w:lang w:val="en-US"/>
        </w:rPr>
        <w:t xml:space="preserve">RAN node. </w:t>
      </w:r>
      <w:r w:rsidR="002F48CE">
        <w:rPr>
          <w:lang w:val="en-US"/>
        </w:rPr>
        <w:t xml:space="preserve">Similarly, it is assumed that for the non-public network, SNPN, it should also support sharing scenarios and </w:t>
      </w:r>
      <w:r w:rsidR="007356FE">
        <w:rPr>
          <w:lang w:val="en-US"/>
        </w:rPr>
        <w:t xml:space="preserve">the possibility to assign </w:t>
      </w:r>
      <w:r>
        <w:rPr>
          <w:lang w:val="en-US"/>
        </w:rPr>
        <w:t>specific TACs and Cell ID’s</w:t>
      </w:r>
      <w:r w:rsidR="007356FE">
        <w:rPr>
          <w:lang w:val="en-US"/>
        </w:rPr>
        <w:t xml:space="preserve"> for each SNPN ID (MCC, MNC, NID)</w:t>
      </w:r>
    </w:p>
    <w:p w14:paraId="15D62F9F" w14:textId="143EE05E" w:rsidR="008C14B2" w:rsidRDefault="008C14B2" w:rsidP="008C14B2">
      <w:pPr>
        <w:pStyle w:val="Proposal"/>
      </w:pPr>
      <w:bookmarkStart w:id="75" w:name="_Toc966817"/>
      <w:bookmarkStart w:id="76" w:name="_Toc966867"/>
      <w:bookmarkStart w:id="77" w:name="_Toc966912"/>
      <w:bookmarkStart w:id="78" w:name="_Toc967427"/>
      <w:bookmarkStart w:id="79" w:name="_Toc967453"/>
      <w:bookmarkStart w:id="80" w:name="_Toc967475"/>
      <w:bookmarkStart w:id="81" w:name="_Toc974699"/>
      <w:bookmarkStart w:id="82" w:name="_Toc1058349"/>
      <w:bookmarkStart w:id="83" w:name="_Toc1071250"/>
      <w:bookmarkStart w:id="84" w:name="_Toc966818"/>
      <w:bookmarkStart w:id="85" w:name="_Toc966868"/>
      <w:bookmarkStart w:id="86" w:name="_Toc966913"/>
      <w:bookmarkStart w:id="87" w:name="_Toc967428"/>
      <w:bookmarkStart w:id="88" w:name="_Toc967454"/>
      <w:bookmarkStart w:id="89" w:name="_Toc967476"/>
      <w:bookmarkStart w:id="90" w:name="_Toc974700"/>
      <w:bookmarkStart w:id="91" w:name="_Toc1058350"/>
      <w:bookmarkStart w:id="92" w:name="_Toc1071251"/>
      <w:bookmarkEnd w:id="75"/>
      <w:bookmarkEnd w:id="76"/>
      <w:bookmarkEnd w:id="77"/>
      <w:bookmarkEnd w:id="78"/>
      <w:bookmarkEnd w:id="79"/>
      <w:bookmarkEnd w:id="80"/>
      <w:bookmarkEnd w:id="81"/>
      <w:bookmarkEnd w:id="82"/>
      <w:bookmarkEnd w:id="83"/>
      <w:r>
        <w:t>RAN</w:t>
      </w:r>
      <w:r w:rsidR="00EF5916">
        <w:t>2</w:t>
      </w:r>
      <w:r>
        <w:t xml:space="preserve"> should support separate Cell IDs and TAC’s per </w:t>
      </w:r>
      <w:r w:rsidR="00EF5916">
        <w:t>MCC, MNC, NID combinations (corresponding to PLMN ID)</w:t>
      </w:r>
      <w:bookmarkEnd w:id="84"/>
      <w:bookmarkEnd w:id="85"/>
      <w:bookmarkEnd w:id="86"/>
      <w:bookmarkEnd w:id="87"/>
      <w:bookmarkEnd w:id="88"/>
      <w:bookmarkEnd w:id="89"/>
      <w:bookmarkEnd w:id="90"/>
      <w:bookmarkEnd w:id="91"/>
      <w:bookmarkEnd w:id="92"/>
    </w:p>
    <w:p w14:paraId="2135A802" w14:textId="77777777" w:rsidR="00EF5916" w:rsidRDefault="00EF5916" w:rsidP="00957B64"/>
    <w:p w14:paraId="16AF61D3" w14:textId="3784C3FE" w:rsidR="00957B64" w:rsidRDefault="00ED662C" w:rsidP="00957B64">
      <w:pPr>
        <w:rPr>
          <w:lang w:val="en-US"/>
        </w:rPr>
      </w:pPr>
      <w:r>
        <w:t>To conclude, i</w:t>
      </w:r>
      <w:r w:rsidR="002C015A">
        <w:t>n our view, the S</w:t>
      </w:r>
      <w:r w:rsidR="002C015A">
        <w:rPr>
          <w:lang w:val="en-US"/>
        </w:rPr>
        <w:t>NPN-solution</w:t>
      </w:r>
      <w:r w:rsidR="00531FE2">
        <w:rPr>
          <w:lang w:val="en-US"/>
        </w:rPr>
        <w:t xml:space="preserve"> </w:t>
      </w:r>
      <w:r w:rsidR="0065316E">
        <w:rPr>
          <w:lang w:val="en-US"/>
        </w:rPr>
        <w:t xml:space="preserve">seem to have </w:t>
      </w:r>
      <w:r w:rsidR="00003E4D">
        <w:rPr>
          <w:lang w:val="en-US"/>
        </w:rPr>
        <w:t>generally</w:t>
      </w:r>
      <w:r w:rsidR="002C015A">
        <w:rPr>
          <w:lang w:val="en-US"/>
        </w:rPr>
        <w:t xml:space="preserve"> limited impact on </w:t>
      </w:r>
      <w:r w:rsidR="008D538E">
        <w:rPr>
          <w:lang w:val="en-US"/>
        </w:rPr>
        <w:t>NG-</w:t>
      </w:r>
      <w:r w:rsidR="002C015A">
        <w:rPr>
          <w:lang w:val="en-US"/>
        </w:rPr>
        <w:t>RAN</w:t>
      </w:r>
      <w:r w:rsidR="008D538E">
        <w:rPr>
          <w:lang w:val="en-US"/>
        </w:rPr>
        <w:t xml:space="preserve"> </w:t>
      </w:r>
      <w:r w:rsidR="00003E4D">
        <w:rPr>
          <w:lang w:val="en-US"/>
        </w:rPr>
        <w:t>node and RAN2</w:t>
      </w:r>
      <w:r w:rsidR="00945437">
        <w:rPr>
          <w:lang w:val="en-US"/>
        </w:rPr>
        <w:t xml:space="preserve"> specifications</w:t>
      </w:r>
      <w:r w:rsidR="002C015A">
        <w:rPr>
          <w:lang w:val="en-US"/>
        </w:rPr>
        <w:t xml:space="preserve"> and can be handled without definition and approval of a new SI/WI in RAN2</w:t>
      </w:r>
      <w:r>
        <w:rPr>
          <w:lang w:val="en-US"/>
        </w:rPr>
        <w:t>.</w:t>
      </w:r>
      <w:r w:rsidR="00531FE2">
        <w:rPr>
          <w:lang w:val="en-US"/>
        </w:rPr>
        <w:t xml:space="preserve"> We propose this should be forwarded to RAN. </w:t>
      </w:r>
    </w:p>
    <w:p w14:paraId="33FD2882" w14:textId="642466B2" w:rsidR="002C015A" w:rsidRPr="002C015A" w:rsidRDefault="008E50DB" w:rsidP="00754B60">
      <w:pPr>
        <w:pStyle w:val="Proposal"/>
        <w:rPr>
          <w:lang w:val="en-US"/>
        </w:rPr>
      </w:pPr>
      <w:bookmarkStart w:id="93" w:name="_Toc967429"/>
      <w:bookmarkStart w:id="94" w:name="_Toc967455"/>
      <w:bookmarkStart w:id="95" w:name="_Toc967477"/>
      <w:bookmarkStart w:id="96" w:name="_Toc974701"/>
      <w:bookmarkStart w:id="97" w:name="_Toc1058351"/>
      <w:bookmarkStart w:id="98" w:name="_Toc1071252"/>
      <w:bookmarkStart w:id="99" w:name="_Toc966819"/>
      <w:bookmarkStart w:id="100" w:name="_Toc966869"/>
      <w:bookmarkStart w:id="101" w:name="_Toc966914"/>
      <w:bookmarkStart w:id="102" w:name="_Toc967430"/>
      <w:bookmarkStart w:id="103" w:name="_Toc967456"/>
      <w:bookmarkStart w:id="104" w:name="_Toc967478"/>
      <w:bookmarkStart w:id="105" w:name="_Toc974702"/>
      <w:bookmarkStart w:id="106" w:name="_Toc1058352"/>
      <w:bookmarkStart w:id="107" w:name="_Toc1071253"/>
      <w:bookmarkEnd w:id="93"/>
      <w:bookmarkEnd w:id="94"/>
      <w:bookmarkEnd w:id="95"/>
      <w:bookmarkEnd w:id="96"/>
      <w:bookmarkEnd w:id="97"/>
      <w:bookmarkEnd w:id="98"/>
      <w:r>
        <w:t xml:space="preserve">Include in </w:t>
      </w:r>
      <w:proofErr w:type="gramStart"/>
      <w:r>
        <w:t>an</w:t>
      </w:r>
      <w:proofErr w:type="gramEnd"/>
      <w:r>
        <w:t xml:space="preserve"> LS to </w:t>
      </w:r>
      <w:r w:rsidR="0059150C">
        <w:t>RAN</w:t>
      </w:r>
      <w:r>
        <w:t xml:space="preserve"> (</w:t>
      </w:r>
      <w:r w:rsidR="0059150C">
        <w:t xml:space="preserve">SA2, </w:t>
      </w:r>
      <w:r>
        <w:t>CT1, RAN3)</w:t>
      </w:r>
      <w:r w:rsidR="00D71838">
        <w:t xml:space="preserve"> that RAN2 expect to handle necessary standardization to support SNPN without the need of an SI</w:t>
      </w:r>
      <w:r w:rsidR="00381E20">
        <w:t xml:space="preserve"> or WI</w:t>
      </w:r>
      <w:bookmarkEnd w:id="99"/>
      <w:bookmarkEnd w:id="100"/>
      <w:bookmarkEnd w:id="101"/>
      <w:r w:rsidR="0059150C">
        <w:t>.</w:t>
      </w:r>
      <w:bookmarkEnd w:id="102"/>
      <w:bookmarkEnd w:id="103"/>
      <w:bookmarkEnd w:id="104"/>
      <w:bookmarkEnd w:id="105"/>
      <w:bookmarkEnd w:id="106"/>
      <w:bookmarkEnd w:id="107"/>
    </w:p>
    <w:p w14:paraId="3BDF1438" w14:textId="7A8372A6" w:rsidR="00957B64" w:rsidRDefault="00957B64" w:rsidP="00ED662C">
      <w:pPr>
        <w:pStyle w:val="Heading2"/>
      </w:pPr>
      <w:r>
        <w:lastRenderedPageBreak/>
        <w:t>CAG</w:t>
      </w:r>
    </w:p>
    <w:p w14:paraId="11F13492" w14:textId="77777777" w:rsidR="00ED662C" w:rsidRDefault="002C015A" w:rsidP="002C015A">
      <w:r>
        <w:t>Our understanding of the CAG solution is that it targets non-public networks that are part of or relying on public PLMN’s</w:t>
      </w:r>
      <w:r w:rsidR="00ED662C">
        <w:t>, i.e., a non-stand-alone non-public network</w:t>
      </w:r>
      <w:r>
        <w:t>.</w:t>
      </w:r>
    </w:p>
    <w:p w14:paraId="21147186" w14:textId="1DA6D6E3" w:rsidR="00A144BB" w:rsidRDefault="00ED662C" w:rsidP="002C015A">
      <w:r>
        <w:t xml:space="preserve">The identity proposed is a CAG ID, i.e., a Closed Access Group ID. This ID uniquely identifies a closed access group </w:t>
      </w:r>
      <w:r w:rsidRPr="00ED662C">
        <w:rPr>
          <w:i/>
        </w:rPr>
        <w:t xml:space="preserve">in </w:t>
      </w:r>
      <w:r w:rsidRPr="00ED662C">
        <w:t>a PLMN</w:t>
      </w:r>
      <w:r w:rsidRPr="00ED662C">
        <w:rPr>
          <w:i/>
        </w:rPr>
        <w:t>.</w:t>
      </w:r>
      <w:r w:rsidR="00A144BB">
        <w:rPr>
          <w:i/>
        </w:rPr>
        <w:t xml:space="preserve"> </w:t>
      </w:r>
      <w:r w:rsidR="00A144BB">
        <w:t xml:space="preserve">A human readable ID is also proposed. </w:t>
      </w:r>
    </w:p>
    <w:p w14:paraId="084F703A" w14:textId="77777777" w:rsidR="001C78DA" w:rsidRDefault="001C78DA" w:rsidP="001C78DA">
      <w:pPr>
        <w:pStyle w:val="BodyText"/>
      </w:pPr>
      <w:r>
        <w:t xml:space="preserve">The TR describes additional broadcast information that is expected: </w:t>
      </w:r>
    </w:p>
    <w:p w14:paraId="6A911418" w14:textId="77777777" w:rsidR="001C78DA" w:rsidRDefault="001C78DA" w:rsidP="001C78DA">
      <w:pPr>
        <w:pStyle w:val="BodyText"/>
      </w:pPr>
    </w:p>
    <w:tbl>
      <w:tblPr>
        <w:tblStyle w:val="TableGrid"/>
        <w:tblW w:w="0" w:type="auto"/>
        <w:tblInd w:w="1701" w:type="dxa"/>
        <w:tblLook w:val="04A0" w:firstRow="1" w:lastRow="0" w:firstColumn="1" w:lastColumn="0" w:noHBand="0" w:noVBand="1"/>
      </w:tblPr>
      <w:tblGrid>
        <w:gridCol w:w="2780"/>
        <w:gridCol w:w="5148"/>
      </w:tblGrid>
      <w:tr w:rsidR="001C78DA" w14:paraId="18B68F74" w14:textId="77777777" w:rsidTr="00754B60">
        <w:tc>
          <w:tcPr>
            <w:tcW w:w="7928" w:type="dxa"/>
            <w:gridSpan w:val="2"/>
          </w:tcPr>
          <w:p w14:paraId="5ABCD14E" w14:textId="77777777" w:rsidR="001C78DA" w:rsidRDefault="001C78DA" w:rsidP="00001471">
            <w:pPr>
              <w:pStyle w:val="BodyText"/>
            </w:pPr>
            <w:bookmarkStart w:id="108" w:name="_Toc966820"/>
            <w:r>
              <w:t>Additional SI to support CAG (according to 23.734)</w:t>
            </w:r>
            <w:bookmarkEnd w:id="108"/>
          </w:p>
        </w:tc>
      </w:tr>
      <w:tr w:rsidR="001C78DA" w14:paraId="6185392C" w14:textId="77777777" w:rsidTr="00754B60">
        <w:tc>
          <w:tcPr>
            <w:tcW w:w="2780" w:type="dxa"/>
          </w:tcPr>
          <w:p w14:paraId="2EAA211F" w14:textId="77777777" w:rsidR="001C78DA" w:rsidRDefault="001C78DA" w:rsidP="00754B60">
            <w:pPr>
              <w:pStyle w:val="BodyText"/>
            </w:pPr>
            <w:r>
              <w:t>CAG indication</w:t>
            </w:r>
          </w:p>
        </w:tc>
        <w:tc>
          <w:tcPr>
            <w:tcW w:w="5148" w:type="dxa"/>
          </w:tcPr>
          <w:p w14:paraId="4FC55CC8" w14:textId="77777777" w:rsidR="001C78DA" w:rsidRDefault="001C78DA" w:rsidP="00754B60">
            <w:pPr>
              <w:pStyle w:val="BodyText"/>
            </w:pPr>
            <w:r>
              <w:t>Identifying a cell as a Closed Access Group cell</w:t>
            </w:r>
          </w:p>
        </w:tc>
      </w:tr>
      <w:tr w:rsidR="001C78DA" w14:paraId="631D6DAF" w14:textId="77777777" w:rsidTr="00754B60">
        <w:tc>
          <w:tcPr>
            <w:tcW w:w="2780" w:type="dxa"/>
          </w:tcPr>
          <w:p w14:paraId="4EEF48FD" w14:textId="77777777" w:rsidR="001C78DA" w:rsidRDefault="001C78DA" w:rsidP="00754B60">
            <w:pPr>
              <w:pStyle w:val="BodyText"/>
            </w:pPr>
            <w:proofErr w:type="spellStart"/>
            <w:r w:rsidRPr="005032EB">
              <w:rPr>
                <w:lang w:val="en-US"/>
              </w:rPr>
              <w:t>cellReservedForOtherUse</w:t>
            </w:r>
            <w:proofErr w:type="spellEnd"/>
          </w:p>
        </w:tc>
        <w:tc>
          <w:tcPr>
            <w:tcW w:w="5148" w:type="dxa"/>
          </w:tcPr>
          <w:p w14:paraId="4CD0035A" w14:textId="77777777" w:rsidR="001C78DA" w:rsidRDefault="001C78DA" w:rsidP="00754B60">
            <w:pPr>
              <w:pStyle w:val="BodyText"/>
              <w:rPr>
                <w:lang w:val="en-US"/>
              </w:rPr>
            </w:pPr>
            <w:r>
              <w:rPr>
                <w:lang w:val="en-US"/>
              </w:rPr>
              <w:t xml:space="preserve">(to prevent non-supporting UEs from accessing the cell; </w:t>
            </w:r>
            <w:r w:rsidRPr="00586C42">
              <w:t>see also TS</w:t>
            </w:r>
            <w:r>
              <w:t> </w:t>
            </w:r>
            <w:r w:rsidRPr="00586C42">
              <w:t>38.304</w:t>
            </w:r>
            <w:r>
              <w:t> [8]</w:t>
            </w:r>
            <w:r w:rsidRPr="00586C42">
              <w:t>)</w:t>
            </w:r>
            <w:r>
              <w:rPr>
                <w:lang w:val="en-US"/>
              </w:rPr>
              <w:t xml:space="preserve">. UEs that support non-public networks consider a cell that broadcasts both the </w:t>
            </w:r>
            <w:proofErr w:type="spellStart"/>
            <w:r w:rsidRPr="00EC3201">
              <w:rPr>
                <w:lang w:val="en-US"/>
              </w:rPr>
              <w:t>cellReservedForOtherUse</w:t>
            </w:r>
            <w:proofErr w:type="spellEnd"/>
            <w:r>
              <w:rPr>
                <w:lang w:val="en-US"/>
              </w:rPr>
              <w:t xml:space="preserve"> and the CAG indication as not barred.</w:t>
            </w:r>
          </w:p>
        </w:tc>
      </w:tr>
      <w:tr w:rsidR="001C78DA" w14:paraId="7DD707C1" w14:textId="77777777" w:rsidTr="00754B60">
        <w:tc>
          <w:tcPr>
            <w:tcW w:w="2780" w:type="dxa"/>
          </w:tcPr>
          <w:p w14:paraId="7B05B22E" w14:textId="77777777" w:rsidR="001C78DA" w:rsidRPr="005032EB" w:rsidRDefault="001C78DA" w:rsidP="00754B60">
            <w:pPr>
              <w:pStyle w:val="BodyText"/>
              <w:rPr>
                <w:lang w:val="en-US"/>
              </w:rPr>
            </w:pPr>
            <w:r>
              <w:rPr>
                <w:lang w:val="en-US"/>
              </w:rPr>
              <w:t>CAG ID</w:t>
            </w:r>
          </w:p>
        </w:tc>
        <w:tc>
          <w:tcPr>
            <w:tcW w:w="5148" w:type="dxa"/>
          </w:tcPr>
          <w:p w14:paraId="24918639" w14:textId="72A38C05" w:rsidR="001C78DA" w:rsidRDefault="0028368C" w:rsidP="00754B60">
            <w:pPr>
              <w:pStyle w:val="BodyText"/>
              <w:rPr>
                <w:lang w:val="en-US"/>
              </w:rPr>
            </w:pPr>
            <w:r>
              <w:rPr>
                <w:lang w:val="en-US"/>
              </w:rPr>
              <w:t>An ID or possibly a list of ID’s per PLMN broadcast (see below)</w:t>
            </w:r>
          </w:p>
        </w:tc>
      </w:tr>
      <w:tr w:rsidR="001C78DA" w14:paraId="3EF475CA" w14:textId="77777777" w:rsidTr="00754B60">
        <w:tc>
          <w:tcPr>
            <w:tcW w:w="2780" w:type="dxa"/>
          </w:tcPr>
          <w:p w14:paraId="3D516928" w14:textId="77777777" w:rsidR="001C78DA" w:rsidRPr="005032EB" w:rsidRDefault="001C78DA" w:rsidP="00754B60">
            <w:pPr>
              <w:pStyle w:val="BodyText"/>
              <w:rPr>
                <w:lang w:val="en-US"/>
              </w:rPr>
            </w:pPr>
            <w:r>
              <w:rPr>
                <w:lang w:val="en-US"/>
              </w:rPr>
              <w:t>HRN</w:t>
            </w:r>
          </w:p>
        </w:tc>
        <w:tc>
          <w:tcPr>
            <w:tcW w:w="5148" w:type="dxa"/>
          </w:tcPr>
          <w:p w14:paraId="773BE8B0" w14:textId="7107F37F" w:rsidR="001C78DA" w:rsidRDefault="001C78DA" w:rsidP="00754B60">
            <w:pPr>
              <w:pStyle w:val="BodyText"/>
              <w:rPr>
                <w:lang w:val="en-US"/>
              </w:rPr>
            </w:pPr>
            <w:r w:rsidRPr="009514B3">
              <w:rPr>
                <w:lang w:val="en-US"/>
              </w:rPr>
              <w:t xml:space="preserve">(Optional) Human-readable network name </w:t>
            </w:r>
          </w:p>
          <w:p w14:paraId="505A9AE0" w14:textId="77777777" w:rsidR="001C78DA" w:rsidRDefault="001C78DA" w:rsidP="00754B60">
            <w:pPr>
              <w:pStyle w:val="BodyText"/>
              <w:rPr>
                <w:lang w:val="en-US"/>
              </w:rPr>
            </w:pPr>
          </w:p>
        </w:tc>
      </w:tr>
    </w:tbl>
    <w:p w14:paraId="4357AE3C" w14:textId="77777777" w:rsidR="001C78DA" w:rsidRDefault="001C78DA" w:rsidP="001C78DA">
      <w:pPr>
        <w:pStyle w:val="BodyText"/>
      </w:pPr>
    </w:p>
    <w:p w14:paraId="159318E6" w14:textId="59154D2A" w:rsidR="008C14B2" w:rsidRDefault="008C14B2" w:rsidP="001C78DA">
      <w:pPr>
        <w:pStyle w:val="BodyText"/>
      </w:pPr>
      <w:r>
        <w:t xml:space="preserve">From the TR it is </w:t>
      </w:r>
      <w:proofErr w:type="spellStart"/>
      <w:r w:rsidR="001C78DA">
        <w:t>unlcear</w:t>
      </w:r>
      <w:proofErr w:type="spellEnd"/>
      <w:r w:rsidR="001C78DA">
        <w:t xml:space="preserve"> if a cell should be allowed to be configured to belong to several CAGs. </w:t>
      </w:r>
      <w:r>
        <w:t>In SA2 #130 endorsed CR</w:t>
      </w:r>
      <w:r w:rsidR="0028368C">
        <w:t xml:space="preserve"> </w:t>
      </w:r>
      <w:r w:rsidR="0028368C">
        <w:fldChar w:fldCharType="begin"/>
      </w:r>
      <w:r w:rsidR="0028368C">
        <w:instrText xml:space="preserve"> REF _Ref383444 \r \h </w:instrText>
      </w:r>
      <w:r w:rsidR="0028368C">
        <w:fldChar w:fldCharType="separate"/>
      </w:r>
      <w:r w:rsidR="0028368C">
        <w:t>[3]</w:t>
      </w:r>
      <w:r w:rsidR="0028368C">
        <w:fldChar w:fldCharType="end"/>
      </w:r>
      <w:r>
        <w:t xml:space="preserve">, the aspect of identifiers </w:t>
      </w:r>
      <w:r w:rsidR="00DF690C">
        <w:t>was</w:t>
      </w:r>
      <w:r>
        <w:t xml:space="preserve"> expanded upon: </w:t>
      </w:r>
    </w:p>
    <w:p w14:paraId="63D57C02" w14:textId="7D30DE2D" w:rsidR="008C14B2" w:rsidRPr="008C14B2" w:rsidRDefault="008C14B2" w:rsidP="008C14B2">
      <w:pPr>
        <w:pStyle w:val="BodyText"/>
        <w:rPr>
          <w:rFonts w:ascii="Times New Roman" w:hAnsi="Times New Roman"/>
          <w:highlight w:val="lightGray"/>
          <w:lang w:eastAsia="ja-JP"/>
        </w:rPr>
      </w:pPr>
      <w:r>
        <w:t>“</w:t>
      </w:r>
      <w:r w:rsidRPr="008C14B2">
        <w:rPr>
          <w:highlight w:val="lightGray"/>
        </w:rPr>
        <w:t>A CAG is identified by a CAG Identifier which is unique within the scope of a PLMN ID;</w:t>
      </w:r>
    </w:p>
    <w:p w14:paraId="100356B0" w14:textId="77777777" w:rsidR="008C14B2" w:rsidRPr="008C14B2" w:rsidRDefault="008C14B2" w:rsidP="008C14B2">
      <w:pPr>
        <w:pStyle w:val="BodyText"/>
        <w:rPr>
          <w:highlight w:val="lightGray"/>
        </w:rPr>
      </w:pPr>
      <w:r w:rsidRPr="008C14B2">
        <w:rPr>
          <w:highlight w:val="lightGray"/>
        </w:rPr>
        <w:t>-</w:t>
      </w:r>
      <w:r w:rsidRPr="008C14B2">
        <w:rPr>
          <w:highlight w:val="lightGray"/>
        </w:rPr>
        <w:tab/>
        <w:t>A CAG cell broadcasts a CAG Identifier per PLMN;</w:t>
      </w:r>
    </w:p>
    <w:p w14:paraId="6B214F03" w14:textId="77777777" w:rsidR="008C14B2" w:rsidRPr="008C14B2" w:rsidRDefault="008C14B2" w:rsidP="008C14B2">
      <w:pPr>
        <w:pStyle w:val="BodyText"/>
        <w:rPr>
          <w:highlight w:val="lightGray"/>
        </w:rPr>
      </w:pPr>
      <w:r w:rsidRPr="008C14B2">
        <w:rPr>
          <w:highlight w:val="lightGray"/>
        </w:rPr>
        <w:t>Editor's Note:</w:t>
      </w:r>
      <w:r w:rsidRPr="008C14B2">
        <w:rPr>
          <w:highlight w:val="lightGray"/>
        </w:rPr>
        <w:tab/>
        <w:t>It is FFS whether it shall be possible to broadcast a list of CAG Identifiers per PLMN.</w:t>
      </w:r>
    </w:p>
    <w:p w14:paraId="77E12551" w14:textId="77777777" w:rsidR="008C14B2" w:rsidRPr="008C14B2" w:rsidRDefault="008C14B2" w:rsidP="008C14B2">
      <w:pPr>
        <w:pStyle w:val="BodyText"/>
        <w:rPr>
          <w:highlight w:val="lightGray"/>
        </w:rPr>
      </w:pPr>
      <w:r w:rsidRPr="008C14B2">
        <w:rPr>
          <w:highlight w:val="lightGray"/>
        </w:rPr>
        <w:t>-</w:t>
      </w:r>
      <w:r w:rsidRPr="008C14B2">
        <w:rPr>
          <w:highlight w:val="lightGray"/>
        </w:rPr>
        <w:tab/>
        <w:t>A CAG cell may in addition broadcast a human-readable network name per CAG Identifier:</w:t>
      </w:r>
    </w:p>
    <w:p w14:paraId="13617EC1" w14:textId="085962CF" w:rsidR="008C14B2" w:rsidRPr="008C14B2" w:rsidRDefault="008C14B2" w:rsidP="008C14B2">
      <w:pPr>
        <w:pStyle w:val="BodyText"/>
      </w:pPr>
      <w:r w:rsidRPr="008C14B2">
        <w:rPr>
          <w:highlight w:val="lightGray"/>
        </w:rPr>
        <w:t>NOTE:</w:t>
      </w:r>
      <w:r w:rsidRPr="008C14B2">
        <w:rPr>
          <w:highlight w:val="lightGray"/>
        </w:rPr>
        <w:tab/>
        <w:t>The human-readable network name per CAG Identifier is only used for manual selection.</w:t>
      </w:r>
      <w:r>
        <w:rPr>
          <w:highlight w:val="lightGray"/>
        </w:rPr>
        <w:t>”</w:t>
      </w:r>
    </w:p>
    <w:p w14:paraId="6D836A2C" w14:textId="213E322E" w:rsidR="008C14B2" w:rsidRDefault="008C14B2" w:rsidP="0028368C">
      <w:pPr>
        <w:pStyle w:val="BodyText"/>
      </w:pPr>
      <w:r>
        <w:t>This addition makes the complexity of the broadcast increase</w:t>
      </w:r>
      <w:r w:rsidR="00136420">
        <w:t>.</w:t>
      </w:r>
      <w:r w:rsidR="003E6523">
        <w:t xml:space="preserve"> </w:t>
      </w:r>
      <w:r w:rsidR="00EA797D">
        <w:t xml:space="preserve">This seems to be an FFS </w:t>
      </w:r>
      <w:r w:rsidR="00136420">
        <w:t>where</w:t>
      </w:r>
      <w:r w:rsidR="00EA797D">
        <w:t xml:space="preserve"> further information is interesting to RAN2.</w:t>
      </w:r>
    </w:p>
    <w:p w14:paraId="248E75F1" w14:textId="4F81CDBD" w:rsidR="001C78DA" w:rsidRDefault="00531FE2" w:rsidP="00754B60">
      <w:pPr>
        <w:pStyle w:val="Proposal"/>
      </w:pPr>
      <w:bookmarkStart w:id="109" w:name="_Toc966821"/>
      <w:bookmarkStart w:id="110" w:name="_Toc966870"/>
      <w:bookmarkStart w:id="111" w:name="_Toc966915"/>
      <w:bookmarkStart w:id="112" w:name="_Toc967431"/>
      <w:bookmarkStart w:id="113" w:name="_Toc967457"/>
      <w:bookmarkStart w:id="114" w:name="_Toc967479"/>
      <w:bookmarkStart w:id="115" w:name="_Toc974703"/>
      <w:bookmarkStart w:id="116" w:name="_Toc1058353"/>
      <w:bookmarkStart w:id="117" w:name="_Toc1071254"/>
      <w:r>
        <w:t xml:space="preserve">Include in </w:t>
      </w:r>
      <w:proofErr w:type="gramStart"/>
      <w:r>
        <w:t>an</w:t>
      </w:r>
      <w:proofErr w:type="gramEnd"/>
      <w:r>
        <w:t xml:space="preserve"> LS response to SA2 (CT1, RAN3),</w:t>
      </w:r>
      <w:r w:rsidR="009925E6">
        <w:t xml:space="preserve"> </w:t>
      </w:r>
      <w:r w:rsidR="00EA797D">
        <w:t xml:space="preserve">that RAN2 is interested in conclusions on </w:t>
      </w:r>
      <w:r w:rsidR="007843CF">
        <w:t>if it shall be possible to broadcast a list of CAG identifiers per PLMN</w:t>
      </w:r>
      <w:bookmarkEnd w:id="109"/>
      <w:bookmarkEnd w:id="110"/>
      <w:bookmarkEnd w:id="111"/>
      <w:bookmarkEnd w:id="112"/>
      <w:bookmarkEnd w:id="113"/>
      <w:bookmarkEnd w:id="114"/>
      <w:bookmarkEnd w:id="115"/>
      <w:bookmarkEnd w:id="116"/>
      <w:bookmarkEnd w:id="117"/>
    </w:p>
    <w:p w14:paraId="64A19ABD" w14:textId="2CF9134B" w:rsidR="006967C5" w:rsidRDefault="007843CF" w:rsidP="002C015A">
      <w:r>
        <w:t xml:space="preserve">In connection to </w:t>
      </w:r>
      <w:r w:rsidR="001D1D60">
        <w:t>the SNPN, an</w:t>
      </w:r>
      <w:r w:rsidR="00704B9D">
        <w:t>d</w:t>
      </w:r>
      <w:r w:rsidR="001D1D60">
        <w:t xml:space="preserve"> in particular for manual selection</w:t>
      </w:r>
      <w:r w:rsidR="00C12AEB">
        <w:t xml:space="preserve"> an explanation to including </w:t>
      </w:r>
      <w:proofErr w:type="gramStart"/>
      <w:r w:rsidR="00C12AEB">
        <w:t>a</w:t>
      </w:r>
      <w:proofErr w:type="gramEnd"/>
      <w:r w:rsidR="00C12AEB">
        <w:t xml:space="preserve"> HRN in broadcast was related to that there may not be uniqueness among the SNPN codes globally and sometimes a HRN </w:t>
      </w:r>
      <w:r w:rsidR="006967C5">
        <w:t xml:space="preserve">would be the necessary support to manually select an intended network. This is, e.g., to compare with a Wi-Fi style of selecting a network based on a name that becomes visible on the screen. </w:t>
      </w:r>
      <w:proofErr w:type="gramStart"/>
      <w:r w:rsidR="006967C5">
        <w:t>However</w:t>
      </w:r>
      <w:proofErr w:type="gramEnd"/>
      <w:r w:rsidR="00336505">
        <w:t xml:space="preserve"> for a CAG solution, which seems to take place after network selection</w:t>
      </w:r>
      <w:r w:rsidR="006967C5">
        <w:t xml:space="preserve">, it seems that </w:t>
      </w:r>
      <w:r w:rsidR="006967C5">
        <w:rPr>
          <w:i/>
        </w:rPr>
        <w:t>if there is a unique identity</w:t>
      </w:r>
      <w:r w:rsidR="006967C5">
        <w:t xml:space="preserve"> then, this information should be possible to have in the UE and then it would not be necessary to broadcast. </w:t>
      </w:r>
      <w:r w:rsidR="00966434">
        <w:t xml:space="preserve">There is no manual cell selection and </w:t>
      </w:r>
      <w:r w:rsidR="003A4896">
        <w:t xml:space="preserve">we suppose this is not being proposed by SA2 either. The interpretation of CAG ID here is a bit mixed in that in one sense seem to relate to </w:t>
      </w:r>
      <w:r w:rsidR="00E9747B">
        <w:t xml:space="preserve">cell re/selection, but in the sense of allowing manual selection, takes on more of the traditional network /PLMN view. </w:t>
      </w:r>
      <w:r w:rsidR="00BA6502">
        <w:t xml:space="preserve">Clarification on this topic is needed, and, in particular why </w:t>
      </w:r>
      <w:proofErr w:type="gramStart"/>
      <w:r w:rsidR="00BA6502">
        <w:t>a</w:t>
      </w:r>
      <w:proofErr w:type="gramEnd"/>
      <w:r w:rsidR="00BA6502">
        <w:t xml:space="preserve"> HRN is needed for the CAG solution. </w:t>
      </w:r>
      <w:r w:rsidR="00BD42BA">
        <w:t xml:space="preserve"> </w:t>
      </w:r>
    </w:p>
    <w:p w14:paraId="62CD5BE1" w14:textId="2F11CFB1" w:rsidR="006967C5" w:rsidRPr="009C1AF4" w:rsidRDefault="0011013C" w:rsidP="00001471">
      <w:pPr>
        <w:pStyle w:val="Proposal"/>
      </w:pPr>
      <w:bookmarkStart w:id="118" w:name="_Toc966822"/>
      <w:bookmarkStart w:id="119" w:name="_Toc966871"/>
      <w:bookmarkStart w:id="120" w:name="_Toc966916"/>
      <w:bookmarkStart w:id="121" w:name="_Toc967432"/>
      <w:bookmarkStart w:id="122" w:name="_Toc967458"/>
      <w:bookmarkStart w:id="123" w:name="_Toc967480"/>
      <w:bookmarkStart w:id="124" w:name="_Toc974704"/>
      <w:bookmarkStart w:id="125" w:name="_Toc1058354"/>
      <w:bookmarkStart w:id="126" w:name="_Toc1071255"/>
      <w:r>
        <w:t xml:space="preserve">Include in </w:t>
      </w:r>
      <w:proofErr w:type="gramStart"/>
      <w:r>
        <w:t>an</w:t>
      </w:r>
      <w:proofErr w:type="gramEnd"/>
      <w:r>
        <w:t xml:space="preserve"> LS response to SA2 (CT1, RAN3)</w:t>
      </w:r>
      <w:r w:rsidR="006967C5">
        <w:t xml:space="preserve"> </w:t>
      </w:r>
      <w:r w:rsidR="00594EB7">
        <w:t>a</w:t>
      </w:r>
      <w:r>
        <w:t xml:space="preserve"> request for</w:t>
      </w:r>
      <w:r w:rsidR="00594EB7">
        <w:t xml:space="preserve"> clarification on if a CAG can be used to identify more than one NPN </w:t>
      </w:r>
      <w:r w:rsidR="00BD42BA">
        <w:t>within a PLMN?</w:t>
      </w:r>
      <w:r w:rsidR="0027102D">
        <w:t xml:space="preserve"> If the answer to that is no, then RAN2 </w:t>
      </w:r>
      <w:r w:rsidR="00CE635C">
        <w:t xml:space="preserve">propose to remove HRN broadcast for CAG solutions and keep the mapping between a CAG ID for a PLMN to </w:t>
      </w:r>
      <w:proofErr w:type="gramStart"/>
      <w:r w:rsidR="00CE635C">
        <w:t>a</w:t>
      </w:r>
      <w:proofErr w:type="gramEnd"/>
      <w:r w:rsidR="00CE635C">
        <w:t xml:space="preserve"> HRN in the UE.</w:t>
      </w:r>
      <w:bookmarkEnd w:id="118"/>
      <w:bookmarkEnd w:id="119"/>
      <w:bookmarkEnd w:id="120"/>
      <w:bookmarkEnd w:id="121"/>
      <w:bookmarkEnd w:id="122"/>
      <w:bookmarkEnd w:id="123"/>
      <w:bookmarkEnd w:id="124"/>
      <w:bookmarkEnd w:id="125"/>
      <w:bookmarkEnd w:id="126"/>
    </w:p>
    <w:p w14:paraId="74DC7354" w14:textId="2530284B" w:rsidR="00447949" w:rsidRDefault="008C14B2" w:rsidP="008C14B2">
      <w:pPr>
        <w:pStyle w:val="BodyText"/>
      </w:pPr>
      <w:r>
        <w:t xml:space="preserve">It is stated in the endorsed CR </w:t>
      </w:r>
      <w:r>
        <w:fldChar w:fldCharType="begin"/>
      </w:r>
      <w:r>
        <w:instrText xml:space="preserve"> REF _Ref383444 \r \h </w:instrText>
      </w:r>
      <w:r>
        <w:fldChar w:fldCharType="separate"/>
      </w:r>
      <w:r>
        <w:t>[3]</w:t>
      </w:r>
      <w:r>
        <w:fldChar w:fldCharType="end"/>
      </w:r>
      <w:r>
        <w:t xml:space="preserve"> that there is an FFS whether to assume or require combined usage of network slicing with CAG as to identify the NPN. </w:t>
      </w:r>
    </w:p>
    <w:p w14:paraId="512DBB58" w14:textId="621BD89B" w:rsidR="00447949" w:rsidRPr="005D25DB" w:rsidRDefault="00447949" w:rsidP="00001471">
      <w:pPr>
        <w:pStyle w:val="EditorsNote"/>
      </w:pPr>
      <w:r w:rsidRPr="00001471">
        <w:rPr>
          <w:highlight w:val="lightGray"/>
        </w:rPr>
        <w:t>“</w:t>
      </w:r>
      <w:r w:rsidR="005D25DB" w:rsidRPr="00001471">
        <w:rPr>
          <w:highlight w:val="lightGray"/>
        </w:rPr>
        <w:t>Editor's Note:</w:t>
      </w:r>
      <w:r w:rsidR="005D25DB" w:rsidRPr="00001471">
        <w:rPr>
          <w:highlight w:val="lightGray"/>
        </w:rPr>
        <w:tab/>
        <w:t xml:space="preserve"> Whether to assume or require combined usage of network slicing with CAG as to identify the NPN is FFS.</w:t>
      </w:r>
      <w:r w:rsidRPr="00001471">
        <w:rPr>
          <w:highlight w:val="lightGray"/>
        </w:rPr>
        <w:t>”</w:t>
      </w:r>
    </w:p>
    <w:p w14:paraId="07000B66" w14:textId="43867B92" w:rsidR="008C14B2" w:rsidRDefault="008C14B2" w:rsidP="008C14B2">
      <w:pPr>
        <w:pStyle w:val="BodyText"/>
      </w:pPr>
      <w:r>
        <w:lastRenderedPageBreak/>
        <w:t>If there are further impacts on RAN from this FFS, these needs to be clarified by SA2. The FFS is unclear.</w:t>
      </w:r>
    </w:p>
    <w:p w14:paraId="6440200B" w14:textId="3CCE38D1" w:rsidR="0028368C" w:rsidRDefault="0011013C" w:rsidP="00001471">
      <w:pPr>
        <w:pStyle w:val="Proposal"/>
      </w:pPr>
      <w:bookmarkStart w:id="127" w:name="_Toc966823"/>
      <w:bookmarkStart w:id="128" w:name="_Toc966872"/>
      <w:bookmarkStart w:id="129" w:name="_Toc966917"/>
      <w:bookmarkStart w:id="130" w:name="_Toc967433"/>
      <w:bookmarkStart w:id="131" w:name="_Toc967459"/>
      <w:bookmarkStart w:id="132" w:name="_Toc967481"/>
      <w:bookmarkStart w:id="133" w:name="_Toc974705"/>
      <w:bookmarkStart w:id="134" w:name="_Toc1058355"/>
      <w:bookmarkStart w:id="135" w:name="_Toc1071256"/>
      <w:r>
        <w:t xml:space="preserve">Include in </w:t>
      </w:r>
      <w:proofErr w:type="gramStart"/>
      <w:r>
        <w:t>an</w:t>
      </w:r>
      <w:proofErr w:type="gramEnd"/>
      <w:r>
        <w:t xml:space="preserve"> LS response to SA2 (CT1, RAN3)</w:t>
      </w:r>
      <w:r w:rsidR="008C14B2">
        <w:t>, a request for clarification on FFS of combining CAG and network slice.</w:t>
      </w:r>
      <w:bookmarkStart w:id="136" w:name="_Toc967434"/>
      <w:bookmarkStart w:id="137" w:name="_Toc967460"/>
      <w:bookmarkStart w:id="138" w:name="_Toc967482"/>
      <w:bookmarkStart w:id="139" w:name="_Toc974706"/>
      <w:bookmarkStart w:id="140" w:name="_Toc1058356"/>
      <w:bookmarkStart w:id="141" w:name="_Toc107125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C3BDFB1" w14:textId="0083A2CE" w:rsidR="002B0F43" w:rsidRDefault="00ED662C" w:rsidP="002C015A">
      <w:r>
        <w:t>It seems unclear from the description in the TR if</w:t>
      </w:r>
      <w:r w:rsidR="00DB2A30">
        <w:t xml:space="preserve"> the CAG ID at any point in time, after it has been selected and the UE NAS has, assumedly signalled to UE AS what ID is selected, if there is any other need to signal, from UE AS to UE NAS, any CAG information. If there is no need to signal the CAG to UE NAS from UE AS, then, the conclusion would be that the CAG ID is basically a cell re-selection matter.</w:t>
      </w:r>
      <w:r w:rsidR="002B0F43">
        <w:t xml:space="preserve"> </w:t>
      </w:r>
    </w:p>
    <w:p w14:paraId="60260048" w14:textId="01F0AD86" w:rsidR="00113F89" w:rsidRDefault="002B0F43" w:rsidP="002C015A">
      <w:r>
        <w:t xml:space="preserve">CAG ID may be a factor to consider for example in relation to PLMN selection. If there is one allowed PLMN that support the non-public network </w:t>
      </w:r>
      <w:r w:rsidR="00113F89">
        <w:t>a user would be interested in, whereas there is another allowed PLMN that doesn’t support the NPN the user is interested in, it sounds as if any CAG ID information would be interesting also from a PLMN selection perspective.</w:t>
      </w:r>
    </w:p>
    <w:p w14:paraId="46F89EDE" w14:textId="2EE194AE" w:rsidR="00113F89" w:rsidRDefault="0011013C" w:rsidP="00113F89">
      <w:pPr>
        <w:pStyle w:val="Proposal"/>
      </w:pPr>
      <w:bookmarkStart w:id="142" w:name="_Toc966824"/>
      <w:bookmarkStart w:id="143" w:name="_Toc966873"/>
      <w:bookmarkStart w:id="144" w:name="_Toc966918"/>
      <w:bookmarkStart w:id="145" w:name="_Toc967435"/>
      <w:bookmarkStart w:id="146" w:name="_Toc967461"/>
      <w:bookmarkStart w:id="147" w:name="_Toc967483"/>
      <w:bookmarkStart w:id="148" w:name="_Toc974707"/>
      <w:bookmarkStart w:id="149" w:name="_Toc1058357"/>
      <w:bookmarkStart w:id="150" w:name="_Toc1071258"/>
      <w:bookmarkStart w:id="151" w:name="_Toc966825"/>
      <w:bookmarkStart w:id="152" w:name="_Toc966874"/>
      <w:bookmarkStart w:id="153" w:name="_Toc966919"/>
      <w:bookmarkStart w:id="154" w:name="_Toc967436"/>
      <w:bookmarkStart w:id="155" w:name="_Toc967462"/>
      <w:bookmarkStart w:id="156" w:name="_Toc967484"/>
      <w:bookmarkStart w:id="157" w:name="_Toc974708"/>
      <w:bookmarkStart w:id="158" w:name="_Toc1058358"/>
      <w:bookmarkStart w:id="159" w:name="_Toc1071259"/>
      <w:bookmarkEnd w:id="142"/>
      <w:bookmarkEnd w:id="143"/>
      <w:bookmarkEnd w:id="144"/>
      <w:bookmarkEnd w:id="145"/>
      <w:bookmarkEnd w:id="146"/>
      <w:bookmarkEnd w:id="147"/>
      <w:bookmarkEnd w:id="148"/>
      <w:bookmarkEnd w:id="149"/>
      <w:bookmarkEnd w:id="150"/>
      <w:r>
        <w:t xml:space="preserve">Include in </w:t>
      </w:r>
      <w:proofErr w:type="gramStart"/>
      <w:r>
        <w:t>an</w:t>
      </w:r>
      <w:proofErr w:type="gramEnd"/>
      <w:r>
        <w:t xml:space="preserve"> LS response to SA2 (CT1, RAN3)</w:t>
      </w:r>
      <w:r w:rsidR="00113F89">
        <w:t>, a request for clarification on if the CAG ID should, at any point in time be forwarded from UE AS to UE NAS, after a PLMN selection procedure or in connection to a PLMN selection procedure.</w:t>
      </w:r>
      <w:bookmarkEnd w:id="151"/>
      <w:bookmarkEnd w:id="152"/>
      <w:bookmarkEnd w:id="153"/>
      <w:bookmarkEnd w:id="154"/>
      <w:bookmarkEnd w:id="155"/>
      <w:bookmarkEnd w:id="156"/>
      <w:bookmarkEnd w:id="157"/>
      <w:bookmarkEnd w:id="158"/>
      <w:bookmarkEnd w:id="159"/>
    </w:p>
    <w:p w14:paraId="19B9EE55" w14:textId="6710EDC9" w:rsidR="00401B69" w:rsidRDefault="00A144BB" w:rsidP="00A144BB">
      <w:pPr>
        <w:pStyle w:val="BodyText"/>
      </w:pPr>
      <w:bookmarkStart w:id="160" w:name="_Toc966826"/>
      <w:bookmarkStart w:id="161" w:name="_Toc966875"/>
      <w:bookmarkStart w:id="162" w:name="_Toc966920"/>
      <w:bookmarkEnd w:id="160"/>
      <w:bookmarkEnd w:id="161"/>
      <w:bookmarkEnd w:id="162"/>
      <w:r>
        <w:t xml:space="preserve">In our understanding, there </w:t>
      </w:r>
      <w:r w:rsidR="001D1152">
        <w:t>may</w:t>
      </w:r>
      <w:r>
        <w:t xml:space="preserve"> be situations when a UE belonging to a CAG, in situations when it is to stay within the CAG</w:t>
      </w:r>
      <w:r w:rsidR="004865FD">
        <w:t xml:space="preserve"> and moving out of coverage of CAG-cells</w:t>
      </w:r>
      <w:r>
        <w:t xml:space="preserve">, cannot access through the non-CAG cells. In addition, there will be situations when a UE not belonging to a CAG </w:t>
      </w:r>
      <w:r w:rsidR="00F8441C">
        <w:t xml:space="preserve">is moving out of coverage of </w:t>
      </w:r>
      <w:r w:rsidR="004865FD">
        <w:t xml:space="preserve">non-CAG cells, </w:t>
      </w:r>
      <w:r>
        <w:t xml:space="preserve">will not be able to access through a CAG cell. </w:t>
      </w:r>
      <w:r w:rsidR="00401B69">
        <w:t xml:space="preserve">RAN2 should point out to SA2 to be aware of that these types of solutions risk, if not considered to create significant interference. The typical solution is to put the two different cell types on different frequency layers. </w:t>
      </w:r>
      <w:r w:rsidR="00C6195C">
        <w:t xml:space="preserve">Add that </w:t>
      </w:r>
      <w:r w:rsidR="00401B69">
        <w:t>RAN2 does not</w:t>
      </w:r>
      <w:r w:rsidR="006E34C2">
        <w:t xml:space="preserve"> expect to work on optimizations to avoid interference if on the same frequency. </w:t>
      </w:r>
    </w:p>
    <w:p w14:paraId="58ABFA76" w14:textId="67A90374" w:rsidR="00A144BB" w:rsidRDefault="00A144BB" w:rsidP="00A144BB">
      <w:pPr>
        <w:pStyle w:val="Proposal"/>
      </w:pPr>
      <w:bookmarkStart w:id="163" w:name="_Toc966827"/>
      <w:bookmarkStart w:id="164" w:name="_Toc966876"/>
      <w:bookmarkStart w:id="165" w:name="_Toc966921"/>
      <w:bookmarkStart w:id="166" w:name="_Toc967437"/>
      <w:bookmarkStart w:id="167" w:name="_Toc967463"/>
      <w:bookmarkStart w:id="168" w:name="_Toc967485"/>
      <w:bookmarkStart w:id="169" w:name="_Toc974709"/>
      <w:bookmarkStart w:id="170" w:name="_Toc1058359"/>
      <w:bookmarkStart w:id="171" w:name="_Toc1071260"/>
      <w:bookmarkStart w:id="172" w:name="_Toc966828"/>
      <w:bookmarkStart w:id="173" w:name="_Toc966877"/>
      <w:bookmarkStart w:id="174" w:name="_Toc966922"/>
      <w:bookmarkStart w:id="175" w:name="_Toc967438"/>
      <w:bookmarkStart w:id="176" w:name="_Toc967464"/>
      <w:bookmarkStart w:id="177" w:name="_Toc967486"/>
      <w:bookmarkStart w:id="178" w:name="_Toc974710"/>
      <w:bookmarkStart w:id="179" w:name="_Toc1058360"/>
      <w:bookmarkStart w:id="180" w:name="_Toc1071261"/>
      <w:bookmarkStart w:id="181" w:name="_Toc966829"/>
      <w:bookmarkStart w:id="182" w:name="_Toc966878"/>
      <w:bookmarkStart w:id="183" w:name="_Toc966923"/>
      <w:bookmarkStart w:id="184" w:name="_Toc967439"/>
      <w:bookmarkStart w:id="185" w:name="_Toc967465"/>
      <w:bookmarkStart w:id="186" w:name="_Toc967487"/>
      <w:bookmarkStart w:id="187" w:name="_Toc974711"/>
      <w:bookmarkStart w:id="188" w:name="_Toc1058361"/>
      <w:bookmarkStart w:id="189" w:name="_Toc10712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 xml:space="preserve">Feedback to SA2 that </w:t>
      </w:r>
      <w:r w:rsidR="005D6739">
        <w:t>if CAG and non-CAG cells are put on the same frequency, traffic to respective cells may cause additional interference.</w:t>
      </w:r>
      <w:r w:rsidR="00577D1E">
        <w:t xml:space="preserve"> RAN2 does not expect to work on optimizations for such situations.</w:t>
      </w:r>
      <w:bookmarkEnd w:id="181"/>
      <w:bookmarkEnd w:id="182"/>
      <w:bookmarkEnd w:id="183"/>
      <w:bookmarkEnd w:id="184"/>
      <w:bookmarkEnd w:id="185"/>
      <w:bookmarkEnd w:id="186"/>
      <w:bookmarkEnd w:id="187"/>
      <w:bookmarkEnd w:id="188"/>
      <w:bookmarkEnd w:id="189"/>
      <w:r w:rsidR="00577D1E">
        <w:t xml:space="preserve"> </w:t>
      </w:r>
    </w:p>
    <w:p w14:paraId="54D81542" w14:textId="77777777" w:rsidR="00C273D2" w:rsidRDefault="00C273D2" w:rsidP="00A144BB">
      <w:pPr>
        <w:pStyle w:val="BodyText"/>
      </w:pPr>
    </w:p>
    <w:p w14:paraId="423E5B41" w14:textId="1264343D" w:rsidR="006443E4" w:rsidRDefault="00027870" w:rsidP="00A144BB">
      <w:pPr>
        <w:pStyle w:val="BodyText"/>
      </w:pPr>
      <w:r>
        <w:t xml:space="preserve">It is our view that there are </w:t>
      </w:r>
      <w:r w:rsidR="00C273D2">
        <w:t xml:space="preserve">generally </w:t>
      </w:r>
      <w:r>
        <w:t>many more open questions for the CAG solution that relates to RAN</w:t>
      </w:r>
      <w:r w:rsidR="00A42EB2">
        <w:t>2</w:t>
      </w:r>
      <w:r w:rsidR="00577D1E">
        <w:t>, in that it seems closer connected to the cell selection rather than the PLMN selection</w:t>
      </w:r>
      <w:r w:rsidR="00C273D2">
        <w:t xml:space="preserve"> for example. It is also not clear how many CAG’s per </w:t>
      </w:r>
      <w:r w:rsidR="00B77AE1">
        <w:t>PLMN/cell that is intended and this in turn, impact the view on CAG uniqueness and HRN need etc.</w:t>
      </w:r>
      <w:r w:rsidR="00A42EB2">
        <w:t xml:space="preserve"> The SNPN solution seems, from a RAN2-perspective to be mainly about broadcast information and supporting new “network formats”.</w:t>
      </w:r>
    </w:p>
    <w:p w14:paraId="7B0023A1" w14:textId="642BD079" w:rsidR="00027870" w:rsidRDefault="00027870" w:rsidP="00A144BB">
      <w:pPr>
        <w:pStyle w:val="BodyText"/>
      </w:pPr>
      <w:r>
        <w:t xml:space="preserve">In this contribution we have </w:t>
      </w:r>
      <w:r w:rsidR="00A54A7E">
        <w:t xml:space="preserve">obviously </w:t>
      </w:r>
      <w:r>
        <w:t xml:space="preserve">not brought up issues related to RAN3- aspects, </w:t>
      </w:r>
      <w:proofErr w:type="spellStart"/>
      <w:proofErr w:type="gramStart"/>
      <w:r>
        <w:t>e.g.,like</w:t>
      </w:r>
      <w:proofErr w:type="spellEnd"/>
      <w:proofErr w:type="gramEnd"/>
      <w:r>
        <w:t xml:space="preserve"> communication with AMF, Mobility Restriction lists etc</w:t>
      </w:r>
      <w:r w:rsidR="00644A6B">
        <w:t>, these are for RAN3 to assess.</w:t>
      </w:r>
      <w:r w:rsidR="000803A6">
        <w:t xml:space="preserve"> </w:t>
      </w:r>
      <w:r w:rsidR="00644A6B">
        <w:t xml:space="preserve">We think however that </w:t>
      </w:r>
      <w:r>
        <w:t xml:space="preserve">RAN2 should discuss if it </w:t>
      </w:r>
      <w:r w:rsidR="000803A6">
        <w:t>seems</w:t>
      </w:r>
      <w:r>
        <w:t xml:space="preserve"> feasible to provide standardization support for a CAG solution without definition of an SI/WI </w:t>
      </w:r>
      <w:r w:rsidR="000803A6">
        <w:t>from a RAN2 perspective.</w:t>
      </w:r>
    </w:p>
    <w:p w14:paraId="22042FC1" w14:textId="3B026A3B" w:rsidR="00027870" w:rsidRDefault="00027870" w:rsidP="00027870">
      <w:pPr>
        <w:pStyle w:val="Proposal"/>
      </w:pPr>
      <w:bookmarkStart w:id="190" w:name="_Toc966830"/>
      <w:bookmarkStart w:id="191" w:name="_Toc966879"/>
      <w:bookmarkStart w:id="192" w:name="_Toc966924"/>
      <w:bookmarkStart w:id="193" w:name="_Toc967440"/>
      <w:bookmarkStart w:id="194" w:name="_Toc967466"/>
      <w:bookmarkStart w:id="195" w:name="_Toc967488"/>
      <w:bookmarkStart w:id="196" w:name="_Toc974712"/>
      <w:bookmarkStart w:id="197" w:name="_Toc1058362"/>
      <w:bookmarkStart w:id="198" w:name="_Toc1071263"/>
      <w:r>
        <w:t>RAN2 should discuss whether it is feasible to provide standardization support of a CAG solution without a separate SI/WI</w:t>
      </w:r>
      <w:bookmarkEnd w:id="190"/>
      <w:bookmarkEnd w:id="191"/>
      <w:bookmarkEnd w:id="192"/>
      <w:bookmarkEnd w:id="193"/>
      <w:bookmarkEnd w:id="194"/>
      <w:bookmarkEnd w:id="195"/>
      <w:bookmarkEnd w:id="196"/>
      <w:bookmarkEnd w:id="197"/>
      <w:bookmarkEnd w:id="198"/>
    </w:p>
    <w:p w14:paraId="66B2251C" w14:textId="457D4DD1" w:rsidR="009938E2" w:rsidRDefault="009515DC" w:rsidP="00027870">
      <w:pPr>
        <w:pStyle w:val="Proposal"/>
      </w:pPr>
      <w:bookmarkStart w:id="199" w:name="_Toc1058363"/>
      <w:bookmarkStart w:id="200" w:name="_Toc1071264"/>
      <w:r>
        <w:t xml:space="preserve">Include in </w:t>
      </w:r>
      <w:proofErr w:type="gramStart"/>
      <w:r>
        <w:t>an</w:t>
      </w:r>
      <w:proofErr w:type="gramEnd"/>
      <w:r>
        <w:t xml:space="preserve"> LS to RAN (SA2, CT1, RAN3) the conclusion of RAN2 discussion on whether there is a need for a WI or SI to proceed with standardization of a CAG solution</w:t>
      </w:r>
      <w:bookmarkEnd w:id="199"/>
      <w:bookmarkEnd w:id="200"/>
    </w:p>
    <w:p w14:paraId="75DCC915" w14:textId="1B13F78E" w:rsidR="003742AC" w:rsidRPr="00CE0424" w:rsidRDefault="00777702" w:rsidP="006E062C">
      <w:r>
        <w:t xml:space="preserve">See related draft LS proposal in </w:t>
      </w:r>
      <w:r>
        <w:fldChar w:fldCharType="begin"/>
      </w:r>
      <w:r>
        <w:instrText xml:space="preserve"> REF _Ref962865 \r \h </w:instrText>
      </w:r>
      <w:r>
        <w:fldChar w:fldCharType="separate"/>
      </w:r>
      <w:r>
        <w:t>[5]</w:t>
      </w:r>
      <w:r>
        <w:fldChar w:fldCharType="end"/>
      </w:r>
    </w:p>
    <w:p w14:paraId="321B2776" w14:textId="77777777" w:rsidR="00C01F33" w:rsidRPr="00CE0424" w:rsidRDefault="00C01F33" w:rsidP="00CE0424">
      <w:pPr>
        <w:pStyle w:val="Heading1"/>
      </w:pPr>
      <w:r w:rsidRPr="00CE0424">
        <w:t>Conclusion</w:t>
      </w:r>
    </w:p>
    <w:p w14:paraId="2332A6C1" w14:textId="1B22F269" w:rsidR="000F7547" w:rsidRPr="00001471" w:rsidRDefault="008E065E">
      <w:pPr>
        <w:pStyle w:val="TOC1"/>
        <w:rPr>
          <w:b w:val="0"/>
        </w:rPr>
      </w:pPr>
      <w:r w:rsidRPr="00001471">
        <w:rPr>
          <w:b w:val="0"/>
        </w:rPr>
        <w:t xml:space="preserve">In section </w:t>
      </w:r>
      <w:r w:rsidRPr="00001471">
        <w:rPr>
          <w:b w:val="0"/>
          <w:highlight w:val="cyan"/>
        </w:rPr>
        <w:fldChar w:fldCharType="begin"/>
      </w:r>
      <w:r w:rsidRPr="00001471">
        <w:rPr>
          <w:b w:val="0"/>
        </w:rPr>
        <w:instrText xml:space="preserve"> REF _Ref178064866 \r \h </w:instrText>
      </w:r>
      <w:r w:rsidR="00085ED9">
        <w:rPr>
          <w:b w:val="0"/>
          <w:highlight w:val="cyan"/>
        </w:rPr>
        <w:instrText xml:space="preserve"> \* MERGEFORMAT </w:instrText>
      </w:r>
      <w:r w:rsidRPr="00001471">
        <w:rPr>
          <w:b w:val="0"/>
          <w:highlight w:val="cyan"/>
        </w:rPr>
      </w:r>
      <w:r w:rsidRPr="00001471">
        <w:rPr>
          <w:b w:val="0"/>
          <w:highlight w:val="cyan"/>
        </w:rPr>
        <w:fldChar w:fldCharType="separate"/>
      </w:r>
      <w:r w:rsidR="00921D5A" w:rsidRPr="00001471">
        <w:rPr>
          <w:b w:val="0"/>
        </w:rPr>
        <w:t>2</w:t>
      </w:r>
      <w:r w:rsidRPr="00001471">
        <w:rPr>
          <w:b w:val="0"/>
          <w:highlight w:val="cyan"/>
        </w:rPr>
        <w:fldChar w:fldCharType="end"/>
      </w:r>
      <w:r w:rsidRPr="00001471">
        <w:rPr>
          <w:b w:val="0"/>
        </w:rPr>
        <w:t xml:space="preserve"> we made the following observations:</w:t>
      </w:r>
    </w:p>
    <w:p w14:paraId="5EE66B9A" w14:textId="77777777" w:rsidR="00C6195C" w:rsidRPr="0000147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C6195C">
        <w:t>Observation 1</w:t>
      </w:r>
      <w:r w:rsidR="00C6195C" w:rsidRPr="00001471">
        <w:rPr>
          <w:rFonts w:asciiTheme="minorHAnsi" w:eastAsiaTheme="minorEastAsia" w:hAnsiTheme="minorHAnsi" w:cstheme="minorBidi"/>
          <w:b w:val="0"/>
          <w:sz w:val="22"/>
          <w:lang w:eastAsia="sv-SE"/>
        </w:rPr>
        <w:tab/>
      </w:r>
      <w:r w:rsidR="00C6195C">
        <w:t>Changes to 38.304 related to SNPN can be made such that PLMN selection instead becomes PLMN/NPN-ID selection. Then, cell selection/reselection procedures does not need to change.</w:t>
      </w:r>
    </w:p>
    <w:p w14:paraId="48BAEA15" w14:textId="77777777" w:rsidR="00C6195C" w:rsidRPr="00001471" w:rsidRDefault="00C6195C">
      <w:pPr>
        <w:pStyle w:val="TOC1"/>
        <w:rPr>
          <w:rFonts w:asciiTheme="minorHAnsi" w:eastAsiaTheme="minorEastAsia" w:hAnsiTheme="minorHAnsi" w:cstheme="minorBidi"/>
          <w:b w:val="0"/>
          <w:sz w:val="22"/>
          <w:lang w:eastAsia="sv-SE"/>
        </w:rPr>
      </w:pPr>
      <w:r>
        <w:t>Observation 2</w:t>
      </w:r>
      <w:r w:rsidRPr="00001471">
        <w:rPr>
          <w:rFonts w:asciiTheme="minorHAnsi" w:eastAsiaTheme="minorEastAsia" w:hAnsiTheme="minorHAnsi" w:cstheme="minorBidi"/>
          <w:b w:val="0"/>
          <w:sz w:val="22"/>
          <w:lang w:eastAsia="sv-SE"/>
        </w:rPr>
        <w:tab/>
      </w:r>
      <w:r>
        <w:t>UE’s should include PLMN ID and NID in msg5 in an initial registration procedure.</w:t>
      </w:r>
    </w:p>
    <w:p w14:paraId="7C5D6FCC" w14:textId="77777777" w:rsidR="008E065E" w:rsidRDefault="008E065E" w:rsidP="008E065E">
      <w:pPr>
        <w:pStyle w:val="BodyText"/>
        <w:rPr>
          <w:b/>
          <w:bCs/>
        </w:rPr>
      </w:pPr>
      <w:r>
        <w:rPr>
          <w:b/>
          <w:bCs/>
        </w:rPr>
        <w:fldChar w:fldCharType="end"/>
      </w:r>
    </w:p>
    <w:p w14:paraId="240B5555" w14:textId="22A1B38D" w:rsidR="001078CF" w:rsidRPr="00001471" w:rsidRDefault="008E065E">
      <w:pPr>
        <w:pStyle w:val="TOC1"/>
        <w:rPr>
          <w:b w:val="0"/>
        </w:rPr>
      </w:pPr>
      <w:r w:rsidRPr="00001471">
        <w:rPr>
          <w:b w:val="0"/>
        </w:rPr>
        <w:lastRenderedPageBreak/>
        <w:t xml:space="preserve">Based on the discussion in section </w:t>
      </w:r>
      <w:r w:rsidRPr="00001471">
        <w:rPr>
          <w:b w:val="0"/>
          <w:highlight w:val="cyan"/>
        </w:rPr>
        <w:fldChar w:fldCharType="begin"/>
      </w:r>
      <w:r w:rsidRPr="00001471">
        <w:rPr>
          <w:b w:val="0"/>
        </w:rPr>
        <w:instrText xml:space="preserve"> REF _Ref178064866 \r \h </w:instrText>
      </w:r>
      <w:r w:rsidR="00085ED9">
        <w:rPr>
          <w:b w:val="0"/>
          <w:highlight w:val="cyan"/>
        </w:rPr>
        <w:instrText xml:space="preserve"> \* MERGEFORMAT </w:instrText>
      </w:r>
      <w:r w:rsidRPr="00001471">
        <w:rPr>
          <w:b w:val="0"/>
          <w:highlight w:val="cyan"/>
        </w:rPr>
      </w:r>
      <w:r w:rsidRPr="00001471">
        <w:rPr>
          <w:b w:val="0"/>
          <w:highlight w:val="cyan"/>
        </w:rPr>
        <w:fldChar w:fldCharType="separate"/>
      </w:r>
      <w:r w:rsidR="00921D5A" w:rsidRPr="00001471">
        <w:rPr>
          <w:b w:val="0"/>
        </w:rPr>
        <w:t>2</w:t>
      </w:r>
      <w:r w:rsidRPr="00001471">
        <w:rPr>
          <w:b w:val="0"/>
          <w:highlight w:val="cyan"/>
        </w:rPr>
        <w:fldChar w:fldCharType="end"/>
      </w:r>
      <w:r w:rsidRPr="00001471">
        <w:rPr>
          <w:b w:val="0"/>
        </w:rPr>
        <w:t xml:space="preserve"> we propose the following:</w:t>
      </w:r>
    </w:p>
    <w:p w14:paraId="41B8D8C4" w14:textId="77777777" w:rsidR="00C6195C" w:rsidRPr="0000147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C6195C">
        <w:t>Proposal 1</w:t>
      </w:r>
      <w:r w:rsidR="00C6195C" w:rsidRPr="00001471">
        <w:rPr>
          <w:rFonts w:asciiTheme="minorHAnsi" w:eastAsiaTheme="minorEastAsia" w:hAnsiTheme="minorHAnsi" w:cstheme="minorBidi"/>
          <w:b w:val="0"/>
          <w:sz w:val="22"/>
          <w:lang w:eastAsia="sv-SE"/>
        </w:rPr>
        <w:tab/>
      </w:r>
      <w:r w:rsidR="00C6195C">
        <w:t>Include in an LS response to SA2 (CT1, RAN3), that RAN2 expect further information on selection of MNC and uniqueness thereof, to judge whether further SIB optimization would be possible.</w:t>
      </w:r>
    </w:p>
    <w:p w14:paraId="6B60A9C6" w14:textId="77777777" w:rsidR="00C6195C" w:rsidRPr="00001471" w:rsidRDefault="00C6195C">
      <w:pPr>
        <w:pStyle w:val="TOC1"/>
        <w:rPr>
          <w:rFonts w:asciiTheme="minorHAnsi" w:eastAsiaTheme="minorEastAsia" w:hAnsiTheme="minorHAnsi" w:cstheme="minorBidi"/>
          <w:b w:val="0"/>
          <w:sz w:val="22"/>
          <w:lang w:eastAsia="sv-SE"/>
        </w:rPr>
      </w:pPr>
      <w:r>
        <w:t>Proposal 2</w:t>
      </w:r>
      <w:r w:rsidRPr="00001471">
        <w:rPr>
          <w:rFonts w:asciiTheme="minorHAnsi" w:eastAsiaTheme="minorEastAsia" w:hAnsiTheme="minorHAnsi" w:cstheme="minorBidi"/>
          <w:b w:val="0"/>
          <w:sz w:val="22"/>
          <w:lang w:eastAsia="sv-SE"/>
        </w:rPr>
        <w:tab/>
      </w:r>
      <w:r>
        <w:t xml:space="preserve">Include in an LS response to SA2 (CT1, RAN3), a request for clarification on if the locally managed NIDs can result in that the combination of MCC, MNC and NID is not necessarily uniquely identifying a specific Non-Public Network. Further ask SA2 to consider alternatives to broadcast HRN. One alternative is to store HRN-information together with </w:t>
      </w:r>
      <w:bookmarkStart w:id="201" w:name="_GoBack"/>
      <w:bookmarkEnd w:id="201"/>
      <w:r>
        <w:t>allowed NID information in the UE. This does not guarantee that trial-error situations don’t occur, but it avoids broadcast.</w:t>
      </w:r>
    </w:p>
    <w:p w14:paraId="765DF136" w14:textId="77777777" w:rsidR="00C6195C" w:rsidRPr="00001471" w:rsidRDefault="00C6195C">
      <w:pPr>
        <w:pStyle w:val="TOC1"/>
        <w:rPr>
          <w:rFonts w:asciiTheme="minorHAnsi" w:eastAsiaTheme="minorEastAsia" w:hAnsiTheme="minorHAnsi" w:cstheme="minorBidi"/>
          <w:b w:val="0"/>
          <w:sz w:val="22"/>
          <w:lang w:eastAsia="sv-SE"/>
        </w:rPr>
      </w:pPr>
      <w:r>
        <w:t>Proposal 3</w:t>
      </w:r>
      <w:r w:rsidRPr="00001471">
        <w:rPr>
          <w:rFonts w:asciiTheme="minorHAnsi" w:eastAsiaTheme="minorEastAsia" w:hAnsiTheme="minorHAnsi" w:cstheme="minorBidi"/>
          <w:b w:val="0"/>
          <w:sz w:val="22"/>
          <w:lang w:eastAsia="sv-SE"/>
        </w:rPr>
        <w:tab/>
      </w:r>
      <w:r>
        <w:t>Include in an LS response to SA2 (CT1, RAN3), that RAN2 need further information on:</w:t>
      </w:r>
    </w:p>
    <w:p w14:paraId="0CFB8E32" w14:textId="77777777" w:rsidR="00C6195C" w:rsidRPr="00001471" w:rsidRDefault="00C6195C" w:rsidP="00501696">
      <w:pPr>
        <w:pStyle w:val="TOC1"/>
        <w:ind w:firstLine="0"/>
        <w:rPr>
          <w:rFonts w:asciiTheme="minorHAnsi" w:eastAsiaTheme="minorEastAsia" w:hAnsiTheme="minorHAnsi" w:cstheme="minorBidi"/>
          <w:b w:val="0"/>
          <w:sz w:val="22"/>
          <w:lang w:eastAsia="sv-SE"/>
        </w:rPr>
      </w:pPr>
      <w:r>
        <w:t>A) If an NPN ID can be associated with a public PLMN ID</w:t>
      </w:r>
    </w:p>
    <w:p w14:paraId="298AC518" w14:textId="77777777" w:rsidR="00C6195C" w:rsidRPr="00001471" w:rsidRDefault="00C6195C" w:rsidP="00501696">
      <w:pPr>
        <w:pStyle w:val="TOC1"/>
        <w:ind w:firstLine="0"/>
        <w:rPr>
          <w:rFonts w:asciiTheme="minorHAnsi" w:eastAsiaTheme="minorEastAsia" w:hAnsiTheme="minorHAnsi" w:cstheme="minorBidi"/>
          <w:b w:val="0"/>
          <w:sz w:val="22"/>
          <w:lang w:eastAsia="sv-SE"/>
        </w:rPr>
      </w:pPr>
      <w:r>
        <w:t>B) If, in the same cell, there can be an NPN ID that is associated with several PLMN ID.</w:t>
      </w:r>
    </w:p>
    <w:p w14:paraId="4BB7F4A6" w14:textId="77777777" w:rsidR="00C6195C" w:rsidRPr="00001471" w:rsidRDefault="00C6195C" w:rsidP="00501696">
      <w:pPr>
        <w:pStyle w:val="TOC1"/>
        <w:ind w:firstLine="0"/>
        <w:rPr>
          <w:rFonts w:asciiTheme="minorHAnsi" w:eastAsiaTheme="minorEastAsia" w:hAnsiTheme="minorHAnsi" w:cstheme="minorBidi"/>
          <w:b w:val="0"/>
          <w:sz w:val="22"/>
          <w:lang w:eastAsia="sv-SE"/>
        </w:rPr>
      </w:pPr>
      <w:r>
        <w:t>C) If, in the same cell, there can be several NPN ID’s, each associated with different PLMN ID’s.</w:t>
      </w:r>
    </w:p>
    <w:p w14:paraId="6B31505B" w14:textId="77777777" w:rsidR="00C6195C" w:rsidRPr="00001471" w:rsidRDefault="00C6195C">
      <w:pPr>
        <w:pStyle w:val="TOC1"/>
        <w:rPr>
          <w:rFonts w:asciiTheme="minorHAnsi" w:eastAsiaTheme="minorEastAsia" w:hAnsiTheme="minorHAnsi" w:cstheme="minorBidi"/>
          <w:b w:val="0"/>
          <w:sz w:val="22"/>
          <w:lang w:eastAsia="sv-SE"/>
        </w:rPr>
      </w:pPr>
      <w:r>
        <w:t>Proposal 4</w:t>
      </w:r>
      <w:r w:rsidRPr="00001471">
        <w:rPr>
          <w:rFonts w:asciiTheme="minorHAnsi" w:eastAsiaTheme="minorEastAsia" w:hAnsiTheme="minorHAnsi" w:cstheme="minorBidi"/>
          <w:b w:val="0"/>
          <w:sz w:val="22"/>
          <w:lang w:eastAsia="sv-SE"/>
        </w:rPr>
        <w:tab/>
      </w:r>
      <w:r>
        <w:t>Include in an LS response to SA2 (CT1, RAN3), that it is RAN2 view that AS actions related to cell selection/reselection are not impacted.</w:t>
      </w:r>
    </w:p>
    <w:p w14:paraId="5DE49AE8" w14:textId="77777777" w:rsidR="00C6195C" w:rsidRPr="00001471" w:rsidRDefault="00C6195C">
      <w:pPr>
        <w:pStyle w:val="TOC1"/>
        <w:rPr>
          <w:rFonts w:asciiTheme="minorHAnsi" w:eastAsiaTheme="minorEastAsia" w:hAnsiTheme="minorHAnsi" w:cstheme="minorBidi"/>
          <w:b w:val="0"/>
          <w:sz w:val="22"/>
          <w:lang w:eastAsia="sv-SE"/>
        </w:rPr>
      </w:pPr>
      <w:r>
        <w:t>Proposal 5</w:t>
      </w:r>
      <w:r w:rsidRPr="00001471">
        <w:rPr>
          <w:rFonts w:asciiTheme="minorHAnsi" w:eastAsiaTheme="minorEastAsia" w:hAnsiTheme="minorHAnsi" w:cstheme="minorBidi"/>
          <w:b w:val="0"/>
          <w:sz w:val="22"/>
          <w:lang w:eastAsia="sv-SE"/>
        </w:rPr>
        <w:tab/>
      </w:r>
      <w:r>
        <w:t>RAN2 should support separate Cell IDs and TAC’s per MCC, MNC, NID combinations (corresponding to PLMN ID)</w:t>
      </w:r>
    </w:p>
    <w:p w14:paraId="2617AD32" w14:textId="77777777" w:rsidR="00C6195C" w:rsidRPr="00001471" w:rsidRDefault="00C6195C">
      <w:pPr>
        <w:pStyle w:val="TOC1"/>
        <w:rPr>
          <w:rFonts w:asciiTheme="minorHAnsi" w:eastAsiaTheme="minorEastAsia" w:hAnsiTheme="minorHAnsi" w:cstheme="minorBidi"/>
          <w:b w:val="0"/>
          <w:sz w:val="22"/>
          <w:lang w:eastAsia="sv-SE"/>
        </w:rPr>
      </w:pPr>
      <w:r w:rsidRPr="00081E83">
        <w:t>Proposal 6</w:t>
      </w:r>
      <w:r w:rsidRPr="00001471">
        <w:rPr>
          <w:rFonts w:asciiTheme="minorHAnsi" w:eastAsiaTheme="minorEastAsia" w:hAnsiTheme="minorHAnsi" w:cstheme="minorBidi"/>
          <w:b w:val="0"/>
          <w:sz w:val="22"/>
          <w:lang w:eastAsia="sv-SE"/>
        </w:rPr>
        <w:tab/>
      </w:r>
      <w:r>
        <w:t>Include in an LS to RAN (SA2, CT1, RAN3) that RAN2 expect to handle necessary standardization to support SNPN without the need of an SI.</w:t>
      </w:r>
    </w:p>
    <w:p w14:paraId="755C14C1" w14:textId="77777777" w:rsidR="00C6195C" w:rsidRPr="00001471" w:rsidRDefault="00C6195C">
      <w:pPr>
        <w:pStyle w:val="TOC1"/>
        <w:rPr>
          <w:rFonts w:asciiTheme="minorHAnsi" w:eastAsiaTheme="minorEastAsia" w:hAnsiTheme="minorHAnsi" w:cstheme="minorBidi"/>
          <w:b w:val="0"/>
          <w:sz w:val="22"/>
          <w:lang w:eastAsia="sv-SE"/>
        </w:rPr>
      </w:pPr>
      <w:r>
        <w:t>Proposal 7</w:t>
      </w:r>
      <w:r w:rsidRPr="00001471">
        <w:rPr>
          <w:rFonts w:asciiTheme="minorHAnsi" w:eastAsiaTheme="minorEastAsia" w:hAnsiTheme="minorHAnsi" w:cstheme="minorBidi"/>
          <w:b w:val="0"/>
          <w:sz w:val="22"/>
          <w:lang w:eastAsia="sv-SE"/>
        </w:rPr>
        <w:tab/>
      </w:r>
      <w:r>
        <w:t>Include in an LS response to SA2 (CT1, RAN3), that RAN2 is interested in conclusions on if it shall be possible to broadcast a list of CAG identifiers per PLMN</w:t>
      </w:r>
    </w:p>
    <w:p w14:paraId="689515CA" w14:textId="77777777" w:rsidR="00C6195C" w:rsidRPr="00001471" w:rsidRDefault="00C6195C">
      <w:pPr>
        <w:pStyle w:val="TOC1"/>
        <w:rPr>
          <w:rFonts w:asciiTheme="minorHAnsi" w:eastAsiaTheme="minorEastAsia" w:hAnsiTheme="minorHAnsi" w:cstheme="minorBidi"/>
          <w:b w:val="0"/>
          <w:sz w:val="22"/>
          <w:lang w:eastAsia="sv-SE"/>
        </w:rPr>
      </w:pPr>
      <w:r>
        <w:t>Proposal 8</w:t>
      </w:r>
      <w:r w:rsidRPr="00001471">
        <w:rPr>
          <w:rFonts w:asciiTheme="minorHAnsi" w:eastAsiaTheme="minorEastAsia" w:hAnsiTheme="minorHAnsi" w:cstheme="minorBidi"/>
          <w:b w:val="0"/>
          <w:sz w:val="22"/>
          <w:lang w:eastAsia="sv-SE"/>
        </w:rPr>
        <w:tab/>
      </w:r>
      <w:r>
        <w:t>Include in an LS response to SA2 (CT1, RAN3) a request for clarification on if a CAG can be used to identify more than one NPN within a PLMN? If the answer to that is no, then RAN2 propose to remove HRN broadcast for CAG solutions and keep the mapping between a CAG ID for a PLMN to a HRN in the UE.</w:t>
      </w:r>
    </w:p>
    <w:p w14:paraId="3A71D2F4" w14:textId="131013F1" w:rsidR="00C6195C" w:rsidRPr="00001471" w:rsidRDefault="00C6195C">
      <w:pPr>
        <w:pStyle w:val="TOC1"/>
        <w:rPr>
          <w:rFonts w:asciiTheme="minorHAnsi" w:eastAsiaTheme="minorEastAsia" w:hAnsiTheme="minorHAnsi" w:cstheme="minorBidi"/>
          <w:b w:val="0"/>
          <w:sz w:val="22"/>
          <w:lang w:eastAsia="sv-SE"/>
        </w:rPr>
      </w:pPr>
    </w:p>
    <w:p w14:paraId="75703D2C" w14:textId="77777777" w:rsidR="00C6195C" w:rsidRPr="006F7D88" w:rsidRDefault="00C6195C" w:rsidP="00C6195C">
      <w:pPr>
        <w:pStyle w:val="TOC1"/>
        <w:rPr>
          <w:rFonts w:asciiTheme="minorHAnsi" w:eastAsiaTheme="minorEastAsia" w:hAnsiTheme="minorHAnsi" w:cstheme="minorBidi"/>
          <w:b w:val="0"/>
          <w:sz w:val="22"/>
          <w:lang w:eastAsia="sv-SE"/>
        </w:rPr>
      </w:pPr>
      <w:r>
        <w:t>Proposal 9</w:t>
      </w:r>
      <w:r>
        <w:tab/>
        <w:t>Include in an LS response to SA2 (CT1, RAN3), a request for clarification on FFS of combining CAG and network slice.</w:t>
      </w:r>
    </w:p>
    <w:p w14:paraId="3BB6BC0C" w14:textId="3C8FD878" w:rsidR="00C6195C" w:rsidRPr="00001471" w:rsidRDefault="00C6195C">
      <w:pPr>
        <w:pStyle w:val="TOC1"/>
        <w:rPr>
          <w:rFonts w:asciiTheme="minorHAnsi" w:eastAsiaTheme="minorEastAsia" w:hAnsiTheme="minorHAnsi" w:cstheme="minorBidi"/>
          <w:b w:val="0"/>
          <w:sz w:val="22"/>
          <w:lang w:eastAsia="sv-SE"/>
        </w:rPr>
      </w:pPr>
    </w:p>
    <w:p w14:paraId="6C58F74B" w14:textId="77777777" w:rsidR="00C6195C" w:rsidRPr="00001471" w:rsidRDefault="00C6195C">
      <w:pPr>
        <w:pStyle w:val="TOC1"/>
        <w:rPr>
          <w:rFonts w:asciiTheme="minorHAnsi" w:eastAsiaTheme="minorEastAsia" w:hAnsiTheme="minorHAnsi" w:cstheme="minorBidi"/>
          <w:b w:val="0"/>
          <w:sz w:val="22"/>
          <w:lang w:eastAsia="sv-SE"/>
        </w:rPr>
      </w:pPr>
      <w:r>
        <w:t>Proposal 10</w:t>
      </w:r>
      <w:r w:rsidRPr="00001471">
        <w:rPr>
          <w:rFonts w:asciiTheme="minorHAnsi" w:eastAsiaTheme="minorEastAsia" w:hAnsiTheme="minorHAnsi" w:cstheme="minorBidi"/>
          <w:b w:val="0"/>
          <w:sz w:val="22"/>
          <w:lang w:eastAsia="sv-SE"/>
        </w:rPr>
        <w:tab/>
      </w:r>
      <w:r>
        <w:t>Include in an LS response to SA2 (CT1, RAN3), a request for clarification on if the CAG ID should, at any point in time be forwarded from UE AS to UE NAS, after a PLMN selection procedure or in connection to a PLMN selection procedure.</w:t>
      </w:r>
    </w:p>
    <w:p w14:paraId="2C13D768" w14:textId="77777777" w:rsidR="00C6195C" w:rsidRPr="00001471" w:rsidRDefault="00C6195C">
      <w:pPr>
        <w:pStyle w:val="TOC1"/>
        <w:rPr>
          <w:rFonts w:asciiTheme="minorHAnsi" w:eastAsiaTheme="minorEastAsia" w:hAnsiTheme="minorHAnsi" w:cstheme="minorBidi"/>
          <w:b w:val="0"/>
          <w:sz w:val="22"/>
          <w:lang w:eastAsia="sv-SE"/>
        </w:rPr>
      </w:pPr>
      <w:r>
        <w:t>Proposal 11</w:t>
      </w:r>
      <w:r w:rsidRPr="00001471">
        <w:rPr>
          <w:rFonts w:asciiTheme="minorHAnsi" w:eastAsiaTheme="minorEastAsia" w:hAnsiTheme="minorHAnsi" w:cstheme="minorBidi"/>
          <w:b w:val="0"/>
          <w:sz w:val="22"/>
          <w:lang w:eastAsia="sv-SE"/>
        </w:rPr>
        <w:tab/>
      </w:r>
      <w:r>
        <w:t>Feedback to SA2 that if CAG and non-CAG cells are put on the same frequency, traffic to respective cells may cause additional interference. RAN2 does not expect to work on optimizations for such situations.</w:t>
      </w:r>
    </w:p>
    <w:p w14:paraId="103B7EA3" w14:textId="77777777" w:rsidR="00C6195C" w:rsidRPr="00001471" w:rsidRDefault="00C6195C">
      <w:pPr>
        <w:pStyle w:val="TOC1"/>
        <w:rPr>
          <w:rFonts w:asciiTheme="minorHAnsi" w:eastAsiaTheme="minorEastAsia" w:hAnsiTheme="minorHAnsi" w:cstheme="minorBidi"/>
          <w:b w:val="0"/>
          <w:sz w:val="22"/>
          <w:lang w:eastAsia="sv-SE"/>
        </w:rPr>
      </w:pPr>
      <w:r>
        <w:t>Proposal 12</w:t>
      </w:r>
      <w:r w:rsidRPr="00001471">
        <w:rPr>
          <w:rFonts w:asciiTheme="minorHAnsi" w:eastAsiaTheme="minorEastAsia" w:hAnsiTheme="minorHAnsi" w:cstheme="minorBidi"/>
          <w:b w:val="0"/>
          <w:sz w:val="22"/>
          <w:lang w:eastAsia="sv-SE"/>
        </w:rPr>
        <w:tab/>
      </w:r>
      <w:r>
        <w:t>RAN2 should discuss whether it is feasible to provide standardization support of a CAG solution without a separate SI/WI</w:t>
      </w:r>
    </w:p>
    <w:p w14:paraId="5575DC20" w14:textId="77777777" w:rsidR="00C6195C" w:rsidRPr="00001471" w:rsidRDefault="00C6195C">
      <w:pPr>
        <w:pStyle w:val="TOC1"/>
        <w:rPr>
          <w:rFonts w:asciiTheme="minorHAnsi" w:eastAsiaTheme="minorEastAsia" w:hAnsiTheme="minorHAnsi" w:cstheme="minorBidi"/>
          <w:b w:val="0"/>
          <w:sz w:val="22"/>
          <w:lang w:eastAsia="sv-SE"/>
        </w:rPr>
      </w:pPr>
      <w:r>
        <w:t>Proposal 13</w:t>
      </w:r>
      <w:r w:rsidRPr="00001471">
        <w:rPr>
          <w:rFonts w:asciiTheme="minorHAnsi" w:eastAsiaTheme="minorEastAsia" w:hAnsiTheme="minorHAnsi" w:cstheme="minorBidi"/>
          <w:b w:val="0"/>
          <w:sz w:val="22"/>
          <w:lang w:eastAsia="sv-SE"/>
        </w:rPr>
        <w:tab/>
      </w:r>
      <w:r>
        <w:t>Include in an LS to RAN (SA2, CT1, RAN3) the conclusion of RAN2 discussion on whether there is a need for a WI or SI to proceed with standardization of a CAG solution</w:t>
      </w:r>
    </w:p>
    <w:p w14:paraId="4C981510" w14:textId="69394760" w:rsidR="00C01F33" w:rsidRPr="00CE0424" w:rsidRDefault="008E065E" w:rsidP="006E062C">
      <w:r>
        <w:rPr>
          <w:b/>
          <w:bCs/>
        </w:rPr>
        <w:fldChar w:fldCharType="end"/>
      </w:r>
    </w:p>
    <w:p w14:paraId="016CE633" w14:textId="77777777" w:rsidR="00F507D1" w:rsidRPr="00CE0424" w:rsidRDefault="00F507D1" w:rsidP="00CE0424">
      <w:pPr>
        <w:pStyle w:val="Heading1"/>
      </w:pPr>
      <w:bookmarkStart w:id="202" w:name="_In-sequence_SDU_delivery"/>
      <w:bookmarkEnd w:id="202"/>
      <w:r w:rsidRPr="00CE0424">
        <w:lastRenderedPageBreak/>
        <w:t>References</w:t>
      </w:r>
    </w:p>
    <w:p w14:paraId="4DA3CD67" w14:textId="55740FE1" w:rsidR="00434CDB" w:rsidRPr="00915B75" w:rsidRDefault="001043DA" w:rsidP="00311702">
      <w:pPr>
        <w:pStyle w:val="Reference"/>
      </w:pPr>
      <w:bookmarkStart w:id="203" w:name="_Ref344096"/>
      <w:bookmarkStart w:id="204" w:name="_Ref174151459"/>
      <w:bookmarkStart w:id="205" w:name="_Ref189809556"/>
      <w:r w:rsidRPr="00001471">
        <w:rPr>
          <w:lang w:val="en-US"/>
        </w:rPr>
        <w:t>S2-1813393, RP-182</w:t>
      </w:r>
      <w:r w:rsidR="004D293F" w:rsidRPr="00001471">
        <w:rPr>
          <w:lang w:val="en-US"/>
        </w:rPr>
        <w:t xml:space="preserve">699, LS on RAN Impact analysis due to NPN, SA WG2 #129bis, </w:t>
      </w:r>
      <w:r w:rsidR="00915B75" w:rsidRPr="00001471">
        <w:rPr>
          <w:lang w:val="en-US"/>
        </w:rPr>
        <w:t xml:space="preserve">Sorrento, Italy, December </w:t>
      </w:r>
      <w:proofErr w:type="gramStart"/>
      <w:r w:rsidR="00915B75" w:rsidRPr="00001471">
        <w:rPr>
          <w:lang w:val="en-US"/>
        </w:rPr>
        <w:t>10-13</w:t>
      </w:r>
      <w:proofErr w:type="gramEnd"/>
      <w:r w:rsidR="00915B75" w:rsidRPr="00001471">
        <w:rPr>
          <w:lang w:val="en-US"/>
        </w:rPr>
        <w:t xml:space="preserve"> 2019</w:t>
      </w:r>
    </w:p>
    <w:p w14:paraId="65C24B4E" w14:textId="60921B0E" w:rsidR="00434CDB" w:rsidRPr="00E30043" w:rsidRDefault="007708B5" w:rsidP="00311702">
      <w:pPr>
        <w:pStyle w:val="Reference"/>
      </w:pPr>
      <w:r w:rsidRPr="00001471">
        <w:rPr>
          <w:rStyle w:val="Hyperlink"/>
          <w:color w:val="auto"/>
          <w:u w:val="none"/>
        </w:rPr>
        <w:t xml:space="preserve">S2-1901329, </w:t>
      </w:r>
      <w:r w:rsidR="00E30043">
        <w:rPr>
          <w:rStyle w:val="Hyperlink"/>
          <w:color w:val="auto"/>
          <w:u w:val="none"/>
        </w:rPr>
        <w:t xml:space="preserve">CR, TS 23.501, Introducing Non-public Network, Qualcomm, </w:t>
      </w:r>
      <w:r w:rsidR="00C64C9D">
        <w:rPr>
          <w:rStyle w:val="Hyperlink"/>
          <w:color w:val="auto"/>
          <w:u w:val="none"/>
        </w:rPr>
        <w:t>SA WG2 #130, Kochi, India, Jan 21-25, 2019</w:t>
      </w:r>
    </w:p>
    <w:p w14:paraId="667371D7" w14:textId="6024CCA3" w:rsidR="00434CDB" w:rsidRPr="00BD4C26" w:rsidRDefault="004A713B" w:rsidP="00311702">
      <w:pPr>
        <w:pStyle w:val="Reference"/>
      </w:pPr>
      <w:r w:rsidRPr="00001471">
        <w:rPr>
          <w:rStyle w:val="Hyperlink"/>
          <w:color w:val="auto"/>
          <w:u w:val="none"/>
        </w:rPr>
        <w:t>S2-1901391</w:t>
      </w:r>
      <w:r w:rsidR="000700B3" w:rsidRPr="00001471">
        <w:rPr>
          <w:rStyle w:val="Hyperlink"/>
          <w:color w:val="auto"/>
          <w:u w:val="none"/>
        </w:rPr>
        <w:t xml:space="preserve">, CR TS 23.501, Introducing support for Non-Public Networks, Ericsson </w:t>
      </w:r>
      <w:r w:rsidR="00BD4C26" w:rsidRPr="00001471">
        <w:rPr>
          <w:rStyle w:val="Hyperlink"/>
          <w:color w:val="auto"/>
          <w:u w:val="none"/>
        </w:rPr>
        <w:t>Nokia, Qualcomm</w:t>
      </w:r>
      <w:r w:rsidR="00BD4C26">
        <w:rPr>
          <w:rStyle w:val="Hyperlink"/>
          <w:color w:val="auto"/>
          <w:u w:val="none"/>
        </w:rPr>
        <w:t xml:space="preserve">, </w:t>
      </w:r>
      <w:r w:rsidR="00BD4C26" w:rsidRPr="00BD4C26">
        <w:rPr>
          <w:rStyle w:val="Hyperlink"/>
          <w:color w:val="auto"/>
          <w:u w:val="none"/>
        </w:rPr>
        <w:t>Kochi, India, Jan 21-25, 2019</w:t>
      </w:r>
    </w:p>
    <w:p w14:paraId="1974CA21" w14:textId="39B3E1A0" w:rsidR="00434CDB" w:rsidRDefault="00642C66" w:rsidP="00311702">
      <w:pPr>
        <w:pStyle w:val="Reference"/>
      </w:pPr>
      <w:bookmarkStart w:id="206" w:name="_Ref962644"/>
      <w:r>
        <w:t xml:space="preserve">3GPP TR </w:t>
      </w:r>
      <w:r w:rsidR="00782968">
        <w:t>23.734 v 16.0.0</w:t>
      </w:r>
      <w:r>
        <w:t xml:space="preserve">, Study on enhancements of 5GS </w:t>
      </w:r>
      <w:r w:rsidR="0056654F">
        <w:t>for Vertical and LAN Services, (Release 16), December 2018</w:t>
      </w:r>
    </w:p>
    <w:p w14:paraId="5E845154" w14:textId="28E95084" w:rsidR="003A7EF3" w:rsidRPr="00CE0424" w:rsidRDefault="006A3D59" w:rsidP="00001471">
      <w:pPr>
        <w:pStyle w:val="Reference"/>
      </w:pPr>
      <w:bookmarkStart w:id="207" w:name="_Ref962865"/>
      <w:r w:rsidRPr="001E7BAC">
        <w:rPr>
          <w:lang w:val="en-US"/>
        </w:rPr>
        <w:t>R2-1900409 – Draft Reply LS on RAN impact analysis due to NPN, RAN WG2 #105, Athens, Greece, Feb 25 – Mar 1, 2019</w:t>
      </w:r>
      <w:bookmarkEnd w:id="207"/>
      <w:bookmarkEnd w:id="206"/>
      <w:bookmarkEnd w:id="203"/>
      <w:bookmarkEnd w:id="204"/>
      <w:bookmarkEnd w:id="205"/>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396BC" w14:textId="77777777" w:rsidR="007F4E99" w:rsidRDefault="007F4E99">
      <w:r>
        <w:separator/>
      </w:r>
    </w:p>
  </w:endnote>
  <w:endnote w:type="continuationSeparator" w:id="0">
    <w:p w14:paraId="3C87B3A2" w14:textId="77777777" w:rsidR="007F4E99" w:rsidRDefault="007F4E99">
      <w:r>
        <w:continuationSeparator/>
      </w:r>
    </w:p>
  </w:endnote>
  <w:endnote w:type="continuationNotice" w:id="1">
    <w:p w14:paraId="3A2B2499" w14:textId="77777777" w:rsidR="007F4E99" w:rsidRDefault="007F4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627EF" w14:textId="77777777" w:rsidR="00754B60" w:rsidRDefault="00754B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DE33C" w14:textId="77777777" w:rsidR="007F4E99" w:rsidRDefault="007F4E99">
      <w:r>
        <w:separator/>
      </w:r>
    </w:p>
  </w:footnote>
  <w:footnote w:type="continuationSeparator" w:id="0">
    <w:p w14:paraId="5C8125F5" w14:textId="77777777" w:rsidR="007F4E99" w:rsidRDefault="007F4E99">
      <w:r>
        <w:continuationSeparator/>
      </w:r>
    </w:p>
  </w:footnote>
  <w:footnote w:type="continuationNotice" w:id="1">
    <w:p w14:paraId="6D4281C2" w14:textId="77777777" w:rsidR="007F4E99" w:rsidRDefault="007F4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4E859" w14:textId="77777777" w:rsidR="00754B60" w:rsidRDefault="00754B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9FF0FC4"/>
    <w:multiLevelType w:val="hybridMultilevel"/>
    <w:tmpl w:val="1EA873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D5A"/>
    <w:rsid w:val="000006E1"/>
    <w:rsid w:val="00001471"/>
    <w:rsid w:val="00002A37"/>
    <w:rsid w:val="000039F4"/>
    <w:rsid w:val="00003E4D"/>
    <w:rsid w:val="00006446"/>
    <w:rsid w:val="00006896"/>
    <w:rsid w:val="0000714E"/>
    <w:rsid w:val="00007CDC"/>
    <w:rsid w:val="00011B28"/>
    <w:rsid w:val="00015D15"/>
    <w:rsid w:val="0002564D"/>
    <w:rsid w:val="00025ECA"/>
    <w:rsid w:val="00027870"/>
    <w:rsid w:val="000325B8"/>
    <w:rsid w:val="00034C15"/>
    <w:rsid w:val="000365BA"/>
    <w:rsid w:val="00036BA1"/>
    <w:rsid w:val="00040192"/>
    <w:rsid w:val="000422E2"/>
    <w:rsid w:val="00042F22"/>
    <w:rsid w:val="00043936"/>
    <w:rsid w:val="000444EF"/>
    <w:rsid w:val="00045CE5"/>
    <w:rsid w:val="00051133"/>
    <w:rsid w:val="00052A07"/>
    <w:rsid w:val="000534E3"/>
    <w:rsid w:val="0005606A"/>
    <w:rsid w:val="00057117"/>
    <w:rsid w:val="000616E7"/>
    <w:rsid w:val="0006487E"/>
    <w:rsid w:val="00065E1A"/>
    <w:rsid w:val="000700B3"/>
    <w:rsid w:val="000731A7"/>
    <w:rsid w:val="00077E5F"/>
    <w:rsid w:val="0008036A"/>
    <w:rsid w:val="000803A6"/>
    <w:rsid w:val="00081AE6"/>
    <w:rsid w:val="000855EB"/>
    <w:rsid w:val="00085B52"/>
    <w:rsid w:val="00085ED9"/>
    <w:rsid w:val="000866F2"/>
    <w:rsid w:val="0009009F"/>
    <w:rsid w:val="00091557"/>
    <w:rsid w:val="000924C1"/>
    <w:rsid w:val="000924F0"/>
    <w:rsid w:val="00093474"/>
    <w:rsid w:val="0009510F"/>
    <w:rsid w:val="000A07DA"/>
    <w:rsid w:val="000A1B7B"/>
    <w:rsid w:val="000A56F2"/>
    <w:rsid w:val="000B2719"/>
    <w:rsid w:val="000B3A8F"/>
    <w:rsid w:val="000B4AB9"/>
    <w:rsid w:val="000B58C3"/>
    <w:rsid w:val="000B61E9"/>
    <w:rsid w:val="000C165A"/>
    <w:rsid w:val="000C1D3B"/>
    <w:rsid w:val="000C2E19"/>
    <w:rsid w:val="000C7E7D"/>
    <w:rsid w:val="000D0D07"/>
    <w:rsid w:val="000D4797"/>
    <w:rsid w:val="000E0527"/>
    <w:rsid w:val="000E1E92"/>
    <w:rsid w:val="000E31AF"/>
    <w:rsid w:val="000E5B04"/>
    <w:rsid w:val="000F06D6"/>
    <w:rsid w:val="000F0EB1"/>
    <w:rsid w:val="000F1106"/>
    <w:rsid w:val="000F3BE9"/>
    <w:rsid w:val="000F3C8C"/>
    <w:rsid w:val="000F3F6C"/>
    <w:rsid w:val="000F62EC"/>
    <w:rsid w:val="000F6BD7"/>
    <w:rsid w:val="000F6DF3"/>
    <w:rsid w:val="000F7547"/>
    <w:rsid w:val="001005FF"/>
    <w:rsid w:val="001043DA"/>
    <w:rsid w:val="001062FB"/>
    <w:rsid w:val="001063E6"/>
    <w:rsid w:val="001078CF"/>
    <w:rsid w:val="0011013C"/>
    <w:rsid w:val="00113CF4"/>
    <w:rsid w:val="00113F89"/>
    <w:rsid w:val="001153EA"/>
    <w:rsid w:val="00115643"/>
    <w:rsid w:val="00116765"/>
    <w:rsid w:val="001219F5"/>
    <w:rsid w:val="00121A20"/>
    <w:rsid w:val="00122AF2"/>
    <w:rsid w:val="0012377F"/>
    <w:rsid w:val="00124314"/>
    <w:rsid w:val="00126B4A"/>
    <w:rsid w:val="0013133E"/>
    <w:rsid w:val="00132FD0"/>
    <w:rsid w:val="001344C0"/>
    <w:rsid w:val="001346FA"/>
    <w:rsid w:val="00135252"/>
    <w:rsid w:val="00136420"/>
    <w:rsid w:val="00137AB5"/>
    <w:rsid w:val="00137F0B"/>
    <w:rsid w:val="00151E23"/>
    <w:rsid w:val="001526E0"/>
    <w:rsid w:val="001551B5"/>
    <w:rsid w:val="0016540B"/>
    <w:rsid w:val="001659C1"/>
    <w:rsid w:val="00173A8E"/>
    <w:rsid w:val="00176B7A"/>
    <w:rsid w:val="00177795"/>
    <w:rsid w:val="0018143F"/>
    <w:rsid w:val="00187D76"/>
    <w:rsid w:val="00190AC1"/>
    <w:rsid w:val="0019341A"/>
    <w:rsid w:val="00197DF9"/>
    <w:rsid w:val="001A1987"/>
    <w:rsid w:val="001A2564"/>
    <w:rsid w:val="001A6173"/>
    <w:rsid w:val="001A6CBA"/>
    <w:rsid w:val="001B0D97"/>
    <w:rsid w:val="001B5A5D"/>
    <w:rsid w:val="001C1CE5"/>
    <w:rsid w:val="001C3D2A"/>
    <w:rsid w:val="001C7608"/>
    <w:rsid w:val="001C78DA"/>
    <w:rsid w:val="001D1152"/>
    <w:rsid w:val="001D1D60"/>
    <w:rsid w:val="001D51BA"/>
    <w:rsid w:val="001D6342"/>
    <w:rsid w:val="001D6D53"/>
    <w:rsid w:val="001E4317"/>
    <w:rsid w:val="001E58E2"/>
    <w:rsid w:val="001E7AED"/>
    <w:rsid w:val="001E7BAC"/>
    <w:rsid w:val="001F3916"/>
    <w:rsid w:val="001F545D"/>
    <w:rsid w:val="001F54C5"/>
    <w:rsid w:val="001F662C"/>
    <w:rsid w:val="001F7074"/>
    <w:rsid w:val="00200490"/>
    <w:rsid w:val="00201F3A"/>
    <w:rsid w:val="00203F96"/>
    <w:rsid w:val="002069B2"/>
    <w:rsid w:val="00207FA3"/>
    <w:rsid w:val="00214558"/>
    <w:rsid w:val="00214DA8"/>
    <w:rsid w:val="00215423"/>
    <w:rsid w:val="002158FA"/>
    <w:rsid w:val="00220600"/>
    <w:rsid w:val="002224DB"/>
    <w:rsid w:val="00223FCB"/>
    <w:rsid w:val="002252C3"/>
    <w:rsid w:val="00225C54"/>
    <w:rsid w:val="00230765"/>
    <w:rsid w:val="002319E4"/>
    <w:rsid w:val="00235632"/>
    <w:rsid w:val="00235872"/>
    <w:rsid w:val="00236BDD"/>
    <w:rsid w:val="00241559"/>
    <w:rsid w:val="002435B3"/>
    <w:rsid w:val="002458EB"/>
    <w:rsid w:val="002500C8"/>
    <w:rsid w:val="00256492"/>
    <w:rsid w:val="00257543"/>
    <w:rsid w:val="002617E7"/>
    <w:rsid w:val="00264228"/>
    <w:rsid w:val="00264334"/>
    <w:rsid w:val="0026473E"/>
    <w:rsid w:val="00266214"/>
    <w:rsid w:val="00267C83"/>
    <w:rsid w:val="0027102D"/>
    <w:rsid w:val="0027144F"/>
    <w:rsid w:val="00271F3A"/>
    <w:rsid w:val="00273278"/>
    <w:rsid w:val="002737F4"/>
    <w:rsid w:val="002805F5"/>
    <w:rsid w:val="00280751"/>
    <w:rsid w:val="00280DD1"/>
    <w:rsid w:val="0028280A"/>
    <w:rsid w:val="0028368C"/>
    <w:rsid w:val="00285CA3"/>
    <w:rsid w:val="00286ACD"/>
    <w:rsid w:val="00287838"/>
    <w:rsid w:val="002907B5"/>
    <w:rsid w:val="00292EB7"/>
    <w:rsid w:val="00296227"/>
    <w:rsid w:val="00296F44"/>
    <w:rsid w:val="0029777D"/>
    <w:rsid w:val="002A055E"/>
    <w:rsid w:val="002A1D4E"/>
    <w:rsid w:val="002A2869"/>
    <w:rsid w:val="002A454C"/>
    <w:rsid w:val="002B0F43"/>
    <w:rsid w:val="002B2207"/>
    <w:rsid w:val="002B24D6"/>
    <w:rsid w:val="002B799A"/>
    <w:rsid w:val="002C015A"/>
    <w:rsid w:val="002C29B2"/>
    <w:rsid w:val="002C39CF"/>
    <w:rsid w:val="002C41E6"/>
    <w:rsid w:val="002D00CF"/>
    <w:rsid w:val="002D071A"/>
    <w:rsid w:val="002D1F4C"/>
    <w:rsid w:val="002D34B2"/>
    <w:rsid w:val="002D7637"/>
    <w:rsid w:val="002E1055"/>
    <w:rsid w:val="002E17F2"/>
    <w:rsid w:val="002E714F"/>
    <w:rsid w:val="002E7CAE"/>
    <w:rsid w:val="002F2771"/>
    <w:rsid w:val="002F37A9"/>
    <w:rsid w:val="002F48CE"/>
    <w:rsid w:val="00301CE6"/>
    <w:rsid w:val="0030256B"/>
    <w:rsid w:val="0030501F"/>
    <w:rsid w:val="00307220"/>
    <w:rsid w:val="00307452"/>
    <w:rsid w:val="00307BA1"/>
    <w:rsid w:val="00311702"/>
    <w:rsid w:val="00311E82"/>
    <w:rsid w:val="00313FD6"/>
    <w:rsid w:val="003143BD"/>
    <w:rsid w:val="00314E10"/>
    <w:rsid w:val="003203ED"/>
    <w:rsid w:val="00322C9F"/>
    <w:rsid w:val="00323FBD"/>
    <w:rsid w:val="00324D23"/>
    <w:rsid w:val="00331751"/>
    <w:rsid w:val="003336A9"/>
    <w:rsid w:val="00334579"/>
    <w:rsid w:val="00335858"/>
    <w:rsid w:val="00336505"/>
    <w:rsid w:val="00336BDA"/>
    <w:rsid w:val="00342BD7"/>
    <w:rsid w:val="00343A07"/>
    <w:rsid w:val="003468BA"/>
    <w:rsid w:val="00346DB5"/>
    <w:rsid w:val="003477B1"/>
    <w:rsid w:val="0035491B"/>
    <w:rsid w:val="00357380"/>
    <w:rsid w:val="003602D9"/>
    <w:rsid w:val="003604CE"/>
    <w:rsid w:val="00370E47"/>
    <w:rsid w:val="003742AC"/>
    <w:rsid w:val="00377CE1"/>
    <w:rsid w:val="00381E20"/>
    <w:rsid w:val="00385BF0"/>
    <w:rsid w:val="003939FF"/>
    <w:rsid w:val="003A2223"/>
    <w:rsid w:val="003A2A0F"/>
    <w:rsid w:val="003A45A1"/>
    <w:rsid w:val="003A4896"/>
    <w:rsid w:val="003A5B0A"/>
    <w:rsid w:val="003A6B2D"/>
    <w:rsid w:val="003A6BAC"/>
    <w:rsid w:val="003A7EF3"/>
    <w:rsid w:val="003B159C"/>
    <w:rsid w:val="003B369F"/>
    <w:rsid w:val="003B36A3"/>
    <w:rsid w:val="003B460B"/>
    <w:rsid w:val="003B7FE5"/>
    <w:rsid w:val="003C02A6"/>
    <w:rsid w:val="003C11C8"/>
    <w:rsid w:val="003C2702"/>
    <w:rsid w:val="003C7806"/>
    <w:rsid w:val="003D109F"/>
    <w:rsid w:val="003D2478"/>
    <w:rsid w:val="003D3C45"/>
    <w:rsid w:val="003D5B1F"/>
    <w:rsid w:val="003E15FA"/>
    <w:rsid w:val="003E55E4"/>
    <w:rsid w:val="003E5828"/>
    <w:rsid w:val="003E6523"/>
    <w:rsid w:val="003E74E3"/>
    <w:rsid w:val="003F05C7"/>
    <w:rsid w:val="003F2CD4"/>
    <w:rsid w:val="003F6BBE"/>
    <w:rsid w:val="004000E8"/>
    <w:rsid w:val="00401B69"/>
    <w:rsid w:val="00402E2B"/>
    <w:rsid w:val="00403BC9"/>
    <w:rsid w:val="0040512B"/>
    <w:rsid w:val="00405CA5"/>
    <w:rsid w:val="00407CD3"/>
    <w:rsid w:val="00410134"/>
    <w:rsid w:val="00410B72"/>
    <w:rsid w:val="00410F18"/>
    <w:rsid w:val="0041263E"/>
    <w:rsid w:val="00413AAC"/>
    <w:rsid w:val="00415C87"/>
    <w:rsid w:val="00421105"/>
    <w:rsid w:val="004242F4"/>
    <w:rsid w:val="004263A0"/>
    <w:rsid w:val="00427248"/>
    <w:rsid w:val="00430613"/>
    <w:rsid w:val="00434CDB"/>
    <w:rsid w:val="00437447"/>
    <w:rsid w:val="00437B55"/>
    <w:rsid w:val="00441A92"/>
    <w:rsid w:val="00441C14"/>
    <w:rsid w:val="00444F56"/>
    <w:rsid w:val="00446488"/>
    <w:rsid w:val="00447949"/>
    <w:rsid w:val="004517AA"/>
    <w:rsid w:val="00452CAC"/>
    <w:rsid w:val="004547A3"/>
    <w:rsid w:val="00457565"/>
    <w:rsid w:val="00457B71"/>
    <w:rsid w:val="004638F8"/>
    <w:rsid w:val="004669E2"/>
    <w:rsid w:val="00470C31"/>
    <w:rsid w:val="004734D0"/>
    <w:rsid w:val="0047556B"/>
    <w:rsid w:val="00477768"/>
    <w:rsid w:val="004865FD"/>
    <w:rsid w:val="00492BC5"/>
    <w:rsid w:val="004964F1"/>
    <w:rsid w:val="004A16BC"/>
    <w:rsid w:val="004A2B94"/>
    <w:rsid w:val="004A713B"/>
    <w:rsid w:val="004B7C0C"/>
    <w:rsid w:val="004C2DB9"/>
    <w:rsid w:val="004C3898"/>
    <w:rsid w:val="004D0969"/>
    <w:rsid w:val="004D293F"/>
    <w:rsid w:val="004D36B1"/>
    <w:rsid w:val="004D7EBD"/>
    <w:rsid w:val="004E2680"/>
    <w:rsid w:val="004E28F9"/>
    <w:rsid w:val="004E2B43"/>
    <w:rsid w:val="004E462E"/>
    <w:rsid w:val="004E4796"/>
    <w:rsid w:val="004E56DC"/>
    <w:rsid w:val="004E76F4"/>
    <w:rsid w:val="004F0B4E"/>
    <w:rsid w:val="004F0B6C"/>
    <w:rsid w:val="004F1FCB"/>
    <w:rsid w:val="004F2078"/>
    <w:rsid w:val="004F4DA3"/>
    <w:rsid w:val="00501696"/>
    <w:rsid w:val="00506557"/>
    <w:rsid w:val="0050677A"/>
    <w:rsid w:val="005108D8"/>
    <w:rsid w:val="00511669"/>
    <w:rsid w:val="005116F9"/>
    <w:rsid w:val="00513C97"/>
    <w:rsid w:val="005153A7"/>
    <w:rsid w:val="005219CF"/>
    <w:rsid w:val="00531FE2"/>
    <w:rsid w:val="00534B59"/>
    <w:rsid w:val="00536759"/>
    <w:rsid w:val="00537C62"/>
    <w:rsid w:val="00542A43"/>
    <w:rsid w:val="00545714"/>
    <w:rsid w:val="00546970"/>
    <w:rsid w:val="0054736C"/>
    <w:rsid w:val="00550243"/>
    <w:rsid w:val="00552FFF"/>
    <w:rsid w:val="00554E19"/>
    <w:rsid w:val="0056121F"/>
    <w:rsid w:val="0056654F"/>
    <w:rsid w:val="00572505"/>
    <w:rsid w:val="00576F2F"/>
    <w:rsid w:val="00577D1E"/>
    <w:rsid w:val="00582809"/>
    <w:rsid w:val="0058798C"/>
    <w:rsid w:val="005900FA"/>
    <w:rsid w:val="0059150C"/>
    <w:rsid w:val="00591CD7"/>
    <w:rsid w:val="005935A4"/>
    <w:rsid w:val="005948C2"/>
    <w:rsid w:val="00594EB7"/>
    <w:rsid w:val="00595DCA"/>
    <w:rsid w:val="0059779B"/>
    <w:rsid w:val="005A209A"/>
    <w:rsid w:val="005A662D"/>
    <w:rsid w:val="005B35D7"/>
    <w:rsid w:val="005B392A"/>
    <w:rsid w:val="005B3AA3"/>
    <w:rsid w:val="005B591A"/>
    <w:rsid w:val="005B6F83"/>
    <w:rsid w:val="005C74FB"/>
    <w:rsid w:val="005D1602"/>
    <w:rsid w:val="005D25DB"/>
    <w:rsid w:val="005D6739"/>
    <w:rsid w:val="005E0F40"/>
    <w:rsid w:val="005E385F"/>
    <w:rsid w:val="005E5B81"/>
    <w:rsid w:val="005F2CB1"/>
    <w:rsid w:val="005F3025"/>
    <w:rsid w:val="005F618C"/>
    <w:rsid w:val="005F70BD"/>
    <w:rsid w:val="0060283C"/>
    <w:rsid w:val="00603CE1"/>
    <w:rsid w:val="00604F14"/>
    <w:rsid w:val="00611B72"/>
    <w:rsid w:val="00611B83"/>
    <w:rsid w:val="00613257"/>
    <w:rsid w:val="00615D23"/>
    <w:rsid w:val="006162F9"/>
    <w:rsid w:val="00620A71"/>
    <w:rsid w:val="00620D80"/>
    <w:rsid w:val="006234A6"/>
    <w:rsid w:val="00630001"/>
    <w:rsid w:val="006311B3"/>
    <w:rsid w:val="00631CA0"/>
    <w:rsid w:val="0063284C"/>
    <w:rsid w:val="00636398"/>
    <w:rsid w:val="006368D3"/>
    <w:rsid w:val="006377EC"/>
    <w:rsid w:val="0064151F"/>
    <w:rsid w:val="00641533"/>
    <w:rsid w:val="0064208D"/>
    <w:rsid w:val="00642C66"/>
    <w:rsid w:val="00643475"/>
    <w:rsid w:val="0064396A"/>
    <w:rsid w:val="006443E4"/>
    <w:rsid w:val="00644A6B"/>
    <w:rsid w:val="0064624E"/>
    <w:rsid w:val="00650AB9"/>
    <w:rsid w:val="0065316E"/>
    <w:rsid w:val="006548E1"/>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3EA8"/>
    <w:rsid w:val="006741F2"/>
    <w:rsid w:val="00674CC3"/>
    <w:rsid w:val="00675C72"/>
    <w:rsid w:val="006771F9"/>
    <w:rsid w:val="006776D7"/>
    <w:rsid w:val="00681003"/>
    <w:rsid w:val="006817C9"/>
    <w:rsid w:val="00683ECE"/>
    <w:rsid w:val="00695FC2"/>
    <w:rsid w:val="006967C5"/>
    <w:rsid w:val="00696949"/>
    <w:rsid w:val="00697052"/>
    <w:rsid w:val="006A3D59"/>
    <w:rsid w:val="006A46FB"/>
    <w:rsid w:val="006A5E28"/>
    <w:rsid w:val="006A697B"/>
    <w:rsid w:val="006A7AFF"/>
    <w:rsid w:val="006B1816"/>
    <w:rsid w:val="006B2099"/>
    <w:rsid w:val="006B50CF"/>
    <w:rsid w:val="006C03B8"/>
    <w:rsid w:val="006C5832"/>
    <w:rsid w:val="006C5EC9"/>
    <w:rsid w:val="006C6059"/>
    <w:rsid w:val="006C7522"/>
    <w:rsid w:val="006D2D2B"/>
    <w:rsid w:val="006D6F08"/>
    <w:rsid w:val="006E062C"/>
    <w:rsid w:val="006E28B7"/>
    <w:rsid w:val="006E3310"/>
    <w:rsid w:val="006E34C2"/>
    <w:rsid w:val="006E4E39"/>
    <w:rsid w:val="006E565E"/>
    <w:rsid w:val="006E673D"/>
    <w:rsid w:val="006E7280"/>
    <w:rsid w:val="006E7314"/>
    <w:rsid w:val="006E7D3B"/>
    <w:rsid w:val="006F1B70"/>
    <w:rsid w:val="006F341D"/>
    <w:rsid w:val="006F3CDE"/>
    <w:rsid w:val="006F58D4"/>
    <w:rsid w:val="00702587"/>
    <w:rsid w:val="0070346E"/>
    <w:rsid w:val="00704B9D"/>
    <w:rsid w:val="00704EDB"/>
    <w:rsid w:val="007057F1"/>
    <w:rsid w:val="00706101"/>
    <w:rsid w:val="00707072"/>
    <w:rsid w:val="00707D61"/>
    <w:rsid w:val="00712287"/>
    <w:rsid w:val="00712772"/>
    <w:rsid w:val="007148D3"/>
    <w:rsid w:val="00715B9A"/>
    <w:rsid w:val="0071728B"/>
    <w:rsid w:val="00726604"/>
    <w:rsid w:val="00726EA6"/>
    <w:rsid w:val="00727208"/>
    <w:rsid w:val="00727680"/>
    <w:rsid w:val="00731155"/>
    <w:rsid w:val="007318DA"/>
    <w:rsid w:val="007348B1"/>
    <w:rsid w:val="007356FE"/>
    <w:rsid w:val="007362A6"/>
    <w:rsid w:val="0073679A"/>
    <w:rsid w:val="00736D7D"/>
    <w:rsid w:val="00737B1F"/>
    <w:rsid w:val="00740E58"/>
    <w:rsid w:val="007445A0"/>
    <w:rsid w:val="00744D6A"/>
    <w:rsid w:val="0074518D"/>
    <w:rsid w:val="0074524B"/>
    <w:rsid w:val="00747D8B"/>
    <w:rsid w:val="00751228"/>
    <w:rsid w:val="00754B60"/>
    <w:rsid w:val="007571E1"/>
    <w:rsid w:val="007604B2"/>
    <w:rsid w:val="007617D0"/>
    <w:rsid w:val="00765281"/>
    <w:rsid w:val="00766BAD"/>
    <w:rsid w:val="007708B5"/>
    <w:rsid w:val="007730BD"/>
    <w:rsid w:val="00773B81"/>
    <w:rsid w:val="007755F2"/>
    <w:rsid w:val="00776971"/>
    <w:rsid w:val="00777702"/>
    <w:rsid w:val="00781405"/>
    <w:rsid w:val="0078177E"/>
    <w:rsid w:val="00782968"/>
    <w:rsid w:val="0078304C"/>
    <w:rsid w:val="00783673"/>
    <w:rsid w:val="007843CF"/>
    <w:rsid w:val="00785490"/>
    <w:rsid w:val="00792266"/>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043"/>
    <w:rsid w:val="007D5901"/>
    <w:rsid w:val="007D7526"/>
    <w:rsid w:val="007E4610"/>
    <w:rsid w:val="007E4715"/>
    <w:rsid w:val="007E505B"/>
    <w:rsid w:val="007E66D6"/>
    <w:rsid w:val="007E7091"/>
    <w:rsid w:val="007F272E"/>
    <w:rsid w:val="007F4E99"/>
    <w:rsid w:val="00803FAE"/>
    <w:rsid w:val="00805FFD"/>
    <w:rsid w:val="0080605F"/>
    <w:rsid w:val="00806BAE"/>
    <w:rsid w:val="00807786"/>
    <w:rsid w:val="00810183"/>
    <w:rsid w:val="00811FCB"/>
    <w:rsid w:val="00813307"/>
    <w:rsid w:val="008158D6"/>
    <w:rsid w:val="00817196"/>
    <w:rsid w:val="008235DB"/>
    <w:rsid w:val="00824AB4"/>
    <w:rsid w:val="00825C42"/>
    <w:rsid w:val="00825D25"/>
    <w:rsid w:val="00827D6F"/>
    <w:rsid w:val="00836022"/>
    <w:rsid w:val="008376AC"/>
    <w:rsid w:val="008444E8"/>
    <w:rsid w:val="00844E80"/>
    <w:rsid w:val="00846FE7"/>
    <w:rsid w:val="00850115"/>
    <w:rsid w:val="0085040A"/>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5FCB"/>
    <w:rsid w:val="008B7B5C"/>
    <w:rsid w:val="008C0C99"/>
    <w:rsid w:val="008C14B2"/>
    <w:rsid w:val="008C2017"/>
    <w:rsid w:val="008C4958"/>
    <w:rsid w:val="008C4BAA"/>
    <w:rsid w:val="008C4D88"/>
    <w:rsid w:val="008C5397"/>
    <w:rsid w:val="008C6AE8"/>
    <w:rsid w:val="008C7573"/>
    <w:rsid w:val="008D2322"/>
    <w:rsid w:val="008D34F1"/>
    <w:rsid w:val="008D39D8"/>
    <w:rsid w:val="008D538E"/>
    <w:rsid w:val="008D6D1A"/>
    <w:rsid w:val="008E065E"/>
    <w:rsid w:val="008E0927"/>
    <w:rsid w:val="008E1909"/>
    <w:rsid w:val="008E50DB"/>
    <w:rsid w:val="008F1EAB"/>
    <w:rsid w:val="008F33DC"/>
    <w:rsid w:val="008F477F"/>
    <w:rsid w:val="00902350"/>
    <w:rsid w:val="0090336B"/>
    <w:rsid w:val="009053AA"/>
    <w:rsid w:val="00906939"/>
    <w:rsid w:val="00910B7D"/>
    <w:rsid w:val="00911DFB"/>
    <w:rsid w:val="0091354F"/>
    <w:rsid w:val="009139D9"/>
    <w:rsid w:val="00914AD8"/>
    <w:rsid w:val="00914DB8"/>
    <w:rsid w:val="00915B75"/>
    <w:rsid w:val="00916079"/>
    <w:rsid w:val="00917770"/>
    <w:rsid w:val="00917CE9"/>
    <w:rsid w:val="00920BF2"/>
    <w:rsid w:val="00921D5A"/>
    <w:rsid w:val="00922010"/>
    <w:rsid w:val="0093182B"/>
    <w:rsid w:val="00931BD9"/>
    <w:rsid w:val="009368F3"/>
    <w:rsid w:val="00941636"/>
    <w:rsid w:val="00943742"/>
    <w:rsid w:val="00945437"/>
    <w:rsid w:val="00945C05"/>
    <w:rsid w:val="00946945"/>
    <w:rsid w:val="00947713"/>
    <w:rsid w:val="00950DE7"/>
    <w:rsid w:val="009515DC"/>
    <w:rsid w:val="00953920"/>
    <w:rsid w:val="00953D47"/>
    <w:rsid w:val="0095681E"/>
    <w:rsid w:val="009572D4"/>
    <w:rsid w:val="00957B64"/>
    <w:rsid w:val="00961921"/>
    <w:rsid w:val="0096430A"/>
    <w:rsid w:val="0096554B"/>
    <w:rsid w:val="0096584A"/>
    <w:rsid w:val="00965FC2"/>
    <w:rsid w:val="0096607A"/>
    <w:rsid w:val="00966434"/>
    <w:rsid w:val="009706C6"/>
    <w:rsid w:val="00971F08"/>
    <w:rsid w:val="00974E87"/>
    <w:rsid w:val="0097603D"/>
    <w:rsid w:val="0097625B"/>
    <w:rsid w:val="00976949"/>
    <w:rsid w:val="00980477"/>
    <w:rsid w:val="00985253"/>
    <w:rsid w:val="009853B3"/>
    <w:rsid w:val="00990630"/>
    <w:rsid w:val="00991761"/>
    <w:rsid w:val="009925E6"/>
    <w:rsid w:val="009938E2"/>
    <w:rsid w:val="00994DCA"/>
    <w:rsid w:val="00995A07"/>
    <w:rsid w:val="009960EC"/>
    <w:rsid w:val="009970DD"/>
    <w:rsid w:val="009A0FBA"/>
    <w:rsid w:val="009A1601"/>
    <w:rsid w:val="009A462D"/>
    <w:rsid w:val="009A5CBA"/>
    <w:rsid w:val="009B1F30"/>
    <w:rsid w:val="009B3AC2"/>
    <w:rsid w:val="009B4DF4"/>
    <w:rsid w:val="009B564E"/>
    <w:rsid w:val="009B7E87"/>
    <w:rsid w:val="009C1AF4"/>
    <w:rsid w:val="009C403E"/>
    <w:rsid w:val="009D4FF0"/>
    <w:rsid w:val="009D703C"/>
    <w:rsid w:val="009D718F"/>
    <w:rsid w:val="009E068F"/>
    <w:rsid w:val="009E14E0"/>
    <w:rsid w:val="009E35DB"/>
    <w:rsid w:val="009E47A3"/>
    <w:rsid w:val="009F08F3"/>
    <w:rsid w:val="009F344F"/>
    <w:rsid w:val="009F7467"/>
    <w:rsid w:val="00A048A8"/>
    <w:rsid w:val="00A04F49"/>
    <w:rsid w:val="00A052C5"/>
    <w:rsid w:val="00A13E54"/>
    <w:rsid w:val="00A144BB"/>
    <w:rsid w:val="00A17F63"/>
    <w:rsid w:val="00A2052C"/>
    <w:rsid w:val="00A2193B"/>
    <w:rsid w:val="00A21AB3"/>
    <w:rsid w:val="00A2351A"/>
    <w:rsid w:val="00A264A9"/>
    <w:rsid w:val="00A27785"/>
    <w:rsid w:val="00A30187"/>
    <w:rsid w:val="00A3448A"/>
    <w:rsid w:val="00A36297"/>
    <w:rsid w:val="00A40ABB"/>
    <w:rsid w:val="00A41023"/>
    <w:rsid w:val="00A41E2B"/>
    <w:rsid w:val="00A42EB2"/>
    <w:rsid w:val="00A45B74"/>
    <w:rsid w:val="00A469A6"/>
    <w:rsid w:val="00A46D03"/>
    <w:rsid w:val="00A46F35"/>
    <w:rsid w:val="00A52E1D"/>
    <w:rsid w:val="00A54A7E"/>
    <w:rsid w:val="00A61499"/>
    <w:rsid w:val="00A62A77"/>
    <w:rsid w:val="00A62FCE"/>
    <w:rsid w:val="00A63483"/>
    <w:rsid w:val="00A657D7"/>
    <w:rsid w:val="00A660AC"/>
    <w:rsid w:val="00A66F55"/>
    <w:rsid w:val="00A67E6C"/>
    <w:rsid w:val="00A71B99"/>
    <w:rsid w:val="00A739D0"/>
    <w:rsid w:val="00A7427F"/>
    <w:rsid w:val="00A761D4"/>
    <w:rsid w:val="00A77EC4"/>
    <w:rsid w:val="00A80FC0"/>
    <w:rsid w:val="00A9208D"/>
    <w:rsid w:val="00A92879"/>
    <w:rsid w:val="00A9442A"/>
    <w:rsid w:val="00AA016F"/>
    <w:rsid w:val="00AA068F"/>
    <w:rsid w:val="00AA1ED6"/>
    <w:rsid w:val="00AA51D6"/>
    <w:rsid w:val="00AB0BC8"/>
    <w:rsid w:val="00AB11CA"/>
    <w:rsid w:val="00AB14D9"/>
    <w:rsid w:val="00AB4611"/>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326"/>
    <w:rsid w:val="00AF1C5D"/>
    <w:rsid w:val="00AF3790"/>
    <w:rsid w:val="00AF42D7"/>
    <w:rsid w:val="00B006FE"/>
    <w:rsid w:val="00B007CB"/>
    <w:rsid w:val="00B02AA9"/>
    <w:rsid w:val="00B02FA3"/>
    <w:rsid w:val="00B05084"/>
    <w:rsid w:val="00B157F9"/>
    <w:rsid w:val="00B17DD4"/>
    <w:rsid w:val="00B20256"/>
    <w:rsid w:val="00B20D09"/>
    <w:rsid w:val="00B272E0"/>
    <w:rsid w:val="00B2763F"/>
    <w:rsid w:val="00B27AAC"/>
    <w:rsid w:val="00B30929"/>
    <w:rsid w:val="00B372AA"/>
    <w:rsid w:val="00B40445"/>
    <w:rsid w:val="00B40DD9"/>
    <w:rsid w:val="00B41888"/>
    <w:rsid w:val="00B45A52"/>
    <w:rsid w:val="00B46175"/>
    <w:rsid w:val="00B51333"/>
    <w:rsid w:val="00B513D1"/>
    <w:rsid w:val="00B52650"/>
    <w:rsid w:val="00B6188F"/>
    <w:rsid w:val="00B664C7"/>
    <w:rsid w:val="00B739F6"/>
    <w:rsid w:val="00B771E1"/>
    <w:rsid w:val="00B77AE1"/>
    <w:rsid w:val="00B81A6C"/>
    <w:rsid w:val="00B85DE5"/>
    <w:rsid w:val="00B90F73"/>
    <w:rsid w:val="00B93B59"/>
    <w:rsid w:val="00B9406A"/>
    <w:rsid w:val="00BA2280"/>
    <w:rsid w:val="00BA2A08"/>
    <w:rsid w:val="00BA56D2"/>
    <w:rsid w:val="00BA6502"/>
    <w:rsid w:val="00BA76E0"/>
    <w:rsid w:val="00BB2A25"/>
    <w:rsid w:val="00BB51E9"/>
    <w:rsid w:val="00BC0FDC"/>
    <w:rsid w:val="00BC3053"/>
    <w:rsid w:val="00BC4D2E"/>
    <w:rsid w:val="00BC72A5"/>
    <w:rsid w:val="00BD0941"/>
    <w:rsid w:val="00BD42BA"/>
    <w:rsid w:val="00BD48AC"/>
    <w:rsid w:val="00BD4BE9"/>
    <w:rsid w:val="00BD4C26"/>
    <w:rsid w:val="00BD5F1A"/>
    <w:rsid w:val="00BD69ED"/>
    <w:rsid w:val="00BE1234"/>
    <w:rsid w:val="00BE2FA6"/>
    <w:rsid w:val="00BE333F"/>
    <w:rsid w:val="00BE4FAA"/>
    <w:rsid w:val="00BE6DAA"/>
    <w:rsid w:val="00BE7406"/>
    <w:rsid w:val="00BE7603"/>
    <w:rsid w:val="00BF3279"/>
    <w:rsid w:val="00BF74C7"/>
    <w:rsid w:val="00C015F1"/>
    <w:rsid w:val="00C01F33"/>
    <w:rsid w:val="00C02CC6"/>
    <w:rsid w:val="00C040F7"/>
    <w:rsid w:val="00C041B0"/>
    <w:rsid w:val="00C044AB"/>
    <w:rsid w:val="00C05706"/>
    <w:rsid w:val="00C05B35"/>
    <w:rsid w:val="00C07377"/>
    <w:rsid w:val="00C10478"/>
    <w:rsid w:val="00C12107"/>
    <w:rsid w:val="00C12AEB"/>
    <w:rsid w:val="00C13B85"/>
    <w:rsid w:val="00C14D4B"/>
    <w:rsid w:val="00C154BB"/>
    <w:rsid w:val="00C1755E"/>
    <w:rsid w:val="00C21467"/>
    <w:rsid w:val="00C24345"/>
    <w:rsid w:val="00C273D2"/>
    <w:rsid w:val="00C279B5"/>
    <w:rsid w:val="00C27C45"/>
    <w:rsid w:val="00C27DD2"/>
    <w:rsid w:val="00C3719D"/>
    <w:rsid w:val="00C41D34"/>
    <w:rsid w:val="00C54995"/>
    <w:rsid w:val="00C54D41"/>
    <w:rsid w:val="00C60783"/>
    <w:rsid w:val="00C6195C"/>
    <w:rsid w:val="00C64672"/>
    <w:rsid w:val="00C64C9D"/>
    <w:rsid w:val="00C64E81"/>
    <w:rsid w:val="00C65732"/>
    <w:rsid w:val="00C70697"/>
    <w:rsid w:val="00C72EF4"/>
    <w:rsid w:val="00C75D2F"/>
    <w:rsid w:val="00C767BE"/>
    <w:rsid w:val="00C76E3C"/>
    <w:rsid w:val="00C81568"/>
    <w:rsid w:val="00C852AE"/>
    <w:rsid w:val="00C9027A"/>
    <w:rsid w:val="00C9068E"/>
    <w:rsid w:val="00C91A2E"/>
    <w:rsid w:val="00C922E8"/>
    <w:rsid w:val="00C93C4B"/>
    <w:rsid w:val="00C944AB"/>
    <w:rsid w:val="00C95B40"/>
    <w:rsid w:val="00CA1ED8"/>
    <w:rsid w:val="00CA512F"/>
    <w:rsid w:val="00CB1F63"/>
    <w:rsid w:val="00CB6D8B"/>
    <w:rsid w:val="00CB7170"/>
    <w:rsid w:val="00CC00AC"/>
    <w:rsid w:val="00CC040E"/>
    <w:rsid w:val="00CC111F"/>
    <w:rsid w:val="00CC2011"/>
    <w:rsid w:val="00CC3EA0"/>
    <w:rsid w:val="00CC4756"/>
    <w:rsid w:val="00CC7B45"/>
    <w:rsid w:val="00CD1188"/>
    <w:rsid w:val="00CD2ED1"/>
    <w:rsid w:val="00CD337B"/>
    <w:rsid w:val="00CE0424"/>
    <w:rsid w:val="00CE064B"/>
    <w:rsid w:val="00CE1BBB"/>
    <w:rsid w:val="00CE635C"/>
    <w:rsid w:val="00CE7561"/>
    <w:rsid w:val="00CF1354"/>
    <w:rsid w:val="00CF3B1F"/>
    <w:rsid w:val="00CF3BF6"/>
    <w:rsid w:val="00CF625B"/>
    <w:rsid w:val="00CF687E"/>
    <w:rsid w:val="00D0349B"/>
    <w:rsid w:val="00D03C93"/>
    <w:rsid w:val="00D10249"/>
    <w:rsid w:val="00D115C3"/>
    <w:rsid w:val="00D11897"/>
    <w:rsid w:val="00D11DD9"/>
    <w:rsid w:val="00D13135"/>
    <w:rsid w:val="00D13E4E"/>
    <w:rsid w:val="00D23400"/>
    <w:rsid w:val="00D239A7"/>
    <w:rsid w:val="00D23F47"/>
    <w:rsid w:val="00D253BF"/>
    <w:rsid w:val="00D3288D"/>
    <w:rsid w:val="00D36E71"/>
    <w:rsid w:val="00D37D87"/>
    <w:rsid w:val="00D40B33"/>
    <w:rsid w:val="00D4318F"/>
    <w:rsid w:val="00D438BF"/>
    <w:rsid w:val="00D440F8"/>
    <w:rsid w:val="00D444F1"/>
    <w:rsid w:val="00D44626"/>
    <w:rsid w:val="00D50F97"/>
    <w:rsid w:val="00D546FF"/>
    <w:rsid w:val="00D55AD5"/>
    <w:rsid w:val="00D576CA"/>
    <w:rsid w:val="00D61AF5"/>
    <w:rsid w:val="00D652B5"/>
    <w:rsid w:val="00D66155"/>
    <w:rsid w:val="00D708B0"/>
    <w:rsid w:val="00D71838"/>
    <w:rsid w:val="00D71AFA"/>
    <w:rsid w:val="00D77B1D"/>
    <w:rsid w:val="00D8021F"/>
    <w:rsid w:val="00D80383"/>
    <w:rsid w:val="00D823C6"/>
    <w:rsid w:val="00D840DF"/>
    <w:rsid w:val="00D86CA3"/>
    <w:rsid w:val="00D871CE"/>
    <w:rsid w:val="00D91028"/>
    <w:rsid w:val="00D9196D"/>
    <w:rsid w:val="00D92982"/>
    <w:rsid w:val="00DA305E"/>
    <w:rsid w:val="00DA3DF6"/>
    <w:rsid w:val="00DA5417"/>
    <w:rsid w:val="00DA56E8"/>
    <w:rsid w:val="00DB0A9F"/>
    <w:rsid w:val="00DB2A30"/>
    <w:rsid w:val="00DB377D"/>
    <w:rsid w:val="00DB787D"/>
    <w:rsid w:val="00DC0E34"/>
    <w:rsid w:val="00DC2D36"/>
    <w:rsid w:val="00DC53EF"/>
    <w:rsid w:val="00DD0D7B"/>
    <w:rsid w:val="00DD6C78"/>
    <w:rsid w:val="00DE5608"/>
    <w:rsid w:val="00DE58D0"/>
    <w:rsid w:val="00DE654F"/>
    <w:rsid w:val="00DF0B6E"/>
    <w:rsid w:val="00DF15E0"/>
    <w:rsid w:val="00DF37A0"/>
    <w:rsid w:val="00DF690C"/>
    <w:rsid w:val="00E110E7"/>
    <w:rsid w:val="00E11B20"/>
    <w:rsid w:val="00E17FA2"/>
    <w:rsid w:val="00E22330"/>
    <w:rsid w:val="00E30043"/>
    <w:rsid w:val="00E30B5A"/>
    <w:rsid w:val="00E3123D"/>
    <w:rsid w:val="00E31461"/>
    <w:rsid w:val="00E31D43"/>
    <w:rsid w:val="00E32608"/>
    <w:rsid w:val="00E34188"/>
    <w:rsid w:val="00E34B6E"/>
    <w:rsid w:val="00E353A5"/>
    <w:rsid w:val="00E35559"/>
    <w:rsid w:val="00E3723A"/>
    <w:rsid w:val="00E37860"/>
    <w:rsid w:val="00E446F1"/>
    <w:rsid w:val="00E44DA9"/>
    <w:rsid w:val="00E46886"/>
    <w:rsid w:val="00E47AEF"/>
    <w:rsid w:val="00E52B3C"/>
    <w:rsid w:val="00E53B75"/>
    <w:rsid w:val="00E54E3B"/>
    <w:rsid w:val="00E57565"/>
    <w:rsid w:val="00E63838"/>
    <w:rsid w:val="00E64434"/>
    <w:rsid w:val="00E667D9"/>
    <w:rsid w:val="00E66D85"/>
    <w:rsid w:val="00E67C51"/>
    <w:rsid w:val="00E72EFC"/>
    <w:rsid w:val="00E758EC"/>
    <w:rsid w:val="00E8234C"/>
    <w:rsid w:val="00E83AA9"/>
    <w:rsid w:val="00E85928"/>
    <w:rsid w:val="00E87520"/>
    <w:rsid w:val="00E87822"/>
    <w:rsid w:val="00E90395"/>
    <w:rsid w:val="00E90E49"/>
    <w:rsid w:val="00E917F9"/>
    <w:rsid w:val="00E9291C"/>
    <w:rsid w:val="00E93FFE"/>
    <w:rsid w:val="00E94F8A"/>
    <w:rsid w:val="00E97231"/>
    <w:rsid w:val="00E9747B"/>
    <w:rsid w:val="00EA797D"/>
    <w:rsid w:val="00EA7A41"/>
    <w:rsid w:val="00EB077B"/>
    <w:rsid w:val="00EB4EA2"/>
    <w:rsid w:val="00EC27C6"/>
    <w:rsid w:val="00EC4207"/>
    <w:rsid w:val="00EC5653"/>
    <w:rsid w:val="00EC71CE"/>
    <w:rsid w:val="00ED1006"/>
    <w:rsid w:val="00ED662C"/>
    <w:rsid w:val="00EF0D51"/>
    <w:rsid w:val="00EF18FE"/>
    <w:rsid w:val="00EF5787"/>
    <w:rsid w:val="00EF5916"/>
    <w:rsid w:val="00EF60D0"/>
    <w:rsid w:val="00F027F3"/>
    <w:rsid w:val="00F02EF0"/>
    <w:rsid w:val="00F0528D"/>
    <w:rsid w:val="00F06C67"/>
    <w:rsid w:val="00F06DFD"/>
    <w:rsid w:val="00F071D1"/>
    <w:rsid w:val="00F07533"/>
    <w:rsid w:val="00F10629"/>
    <w:rsid w:val="00F13E9B"/>
    <w:rsid w:val="00F15FA5"/>
    <w:rsid w:val="00F209B7"/>
    <w:rsid w:val="00F2376F"/>
    <w:rsid w:val="00F243D8"/>
    <w:rsid w:val="00F30828"/>
    <w:rsid w:val="00F313D6"/>
    <w:rsid w:val="00F36F59"/>
    <w:rsid w:val="00F40F0C"/>
    <w:rsid w:val="00F441A5"/>
    <w:rsid w:val="00F4766C"/>
    <w:rsid w:val="00F507D1"/>
    <w:rsid w:val="00F519CE"/>
    <w:rsid w:val="00F51ADA"/>
    <w:rsid w:val="00F607C5"/>
    <w:rsid w:val="00F60DDA"/>
    <w:rsid w:val="00F60DEA"/>
    <w:rsid w:val="00F6302A"/>
    <w:rsid w:val="00F63A21"/>
    <w:rsid w:val="00F64C2B"/>
    <w:rsid w:val="00F651BE"/>
    <w:rsid w:val="00F67F53"/>
    <w:rsid w:val="00F703BE"/>
    <w:rsid w:val="00F70D33"/>
    <w:rsid w:val="00F71E0B"/>
    <w:rsid w:val="00F71F69"/>
    <w:rsid w:val="00F72B72"/>
    <w:rsid w:val="00F74BB9"/>
    <w:rsid w:val="00F75582"/>
    <w:rsid w:val="00F767DF"/>
    <w:rsid w:val="00F76EFA"/>
    <w:rsid w:val="00F804BE"/>
    <w:rsid w:val="00F817CE"/>
    <w:rsid w:val="00F8441C"/>
    <w:rsid w:val="00F8456C"/>
    <w:rsid w:val="00F859D8"/>
    <w:rsid w:val="00F868F5"/>
    <w:rsid w:val="00F900D6"/>
    <w:rsid w:val="00F9042A"/>
    <w:rsid w:val="00F9056A"/>
    <w:rsid w:val="00F90F8D"/>
    <w:rsid w:val="00F92782"/>
    <w:rsid w:val="00F93AA9"/>
    <w:rsid w:val="00F96985"/>
    <w:rsid w:val="00F97838"/>
    <w:rsid w:val="00FA2BB3"/>
    <w:rsid w:val="00FB15F0"/>
    <w:rsid w:val="00FB4C80"/>
    <w:rsid w:val="00FB66D3"/>
    <w:rsid w:val="00FB6A6A"/>
    <w:rsid w:val="00FC0451"/>
    <w:rsid w:val="00FC7429"/>
    <w:rsid w:val="00FD07F6"/>
    <w:rsid w:val="00FD1EC8"/>
    <w:rsid w:val="00FD210F"/>
    <w:rsid w:val="00FD47ED"/>
    <w:rsid w:val="00FD74DB"/>
    <w:rsid w:val="00FD7660"/>
    <w:rsid w:val="00FE0655"/>
    <w:rsid w:val="00FE2365"/>
    <w:rsid w:val="00FE4C7B"/>
    <w:rsid w:val="00FE7336"/>
    <w:rsid w:val="00FE787C"/>
    <w:rsid w:val="00FF35FF"/>
    <w:rsid w:val="00FF45A5"/>
    <w:rsid w:val="00FF484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F7189"/>
  <w15:chartTrackingRefBased/>
  <w15:docId w15:val="{8EE5C681-9842-4D67-AD96-63EBBC135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340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340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340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3400"/>
    <w:pPr>
      <w:numPr>
        <w:ilvl w:val="2"/>
      </w:numPr>
      <w:spacing w:before="120"/>
      <w:outlineLvl w:val="2"/>
    </w:pPr>
    <w:rPr>
      <w:sz w:val="28"/>
      <w:szCs w:val="28"/>
    </w:rPr>
  </w:style>
  <w:style w:type="paragraph" w:styleId="Heading4">
    <w:name w:val="heading 4"/>
    <w:basedOn w:val="Heading3"/>
    <w:next w:val="Normal"/>
    <w:qFormat/>
    <w:rsid w:val="00D23400"/>
    <w:pPr>
      <w:numPr>
        <w:ilvl w:val="3"/>
      </w:numPr>
      <w:outlineLvl w:val="3"/>
    </w:pPr>
    <w:rPr>
      <w:sz w:val="24"/>
      <w:szCs w:val="24"/>
    </w:rPr>
  </w:style>
  <w:style w:type="paragraph" w:styleId="Heading5">
    <w:name w:val="heading 5"/>
    <w:basedOn w:val="Heading4"/>
    <w:next w:val="Normal"/>
    <w:qFormat/>
    <w:rsid w:val="00D23400"/>
    <w:pPr>
      <w:numPr>
        <w:ilvl w:val="4"/>
      </w:numPr>
      <w:outlineLvl w:val="4"/>
    </w:pPr>
    <w:rPr>
      <w:sz w:val="22"/>
      <w:szCs w:val="22"/>
    </w:rPr>
  </w:style>
  <w:style w:type="paragraph" w:styleId="Heading6">
    <w:name w:val="heading 6"/>
    <w:basedOn w:val="Normal"/>
    <w:next w:val="Normal"/>
    <w:qFormat/>
    <w:rsid w:val="00D23400"/>
    <w:pPr>
      <w:keepNext/>
      <w:keepLines/>
      <w:numPr>
        <w:ilvl w:val="5"/>
        <w:numId w:val="1"/>
      </w:numPr>
      <w:spacing w:before="120"/>
      <w:outlineLvl w:val="5"/>
    </w:pPr>
    <w:rPr>
      <w:rFonts w:cs="Arial"/>
    </w:rPr>
  </w:style>
  <w:style w:type="paragraph" w:styleId="Heading7">
    <w:name w:val="heading 7"/>
    <w:basedOn w:val="Normal"/>
    <w:next w:val="Normal"/>
    <w:qFormat/>
    <w:rsid w:val="00D23400"/>
    <w:pPr>
      <w:keepNext/>
      <w:keepLines/>
      <w:numPr>
        <w:ilvl w:val="6"/>
        <w:numId w:val="1"/>
      </w:numPr>
      <w:spacing w:before="120"/>
      <w:outlineLvl w:val="6"/>
    </w:pPr>
    <w:rPr>
      <w:rFonts w:cs="Arial"/>
    </w:rPr>
  </w:style>
  <w:style w:type="paragraph" w:styleId="Heading8">
    <w:name w:val="heading 8"/>
    <w:basedOn w:val="Heading7"/>
    <w:next w:val="Normal"/>
    <w:qFormat/>
    <w:rsid w:val="00D23400"/>
    <w:pPr>
      <w:numPr>
        <w:ilvl w:val="7"/>
      </w:numPr>
      <w:outlineLvl w:val="7"/>
    </w:pPr>
  </w:style>
  <w:style w:type="paragraph" w:styleId="Heading9">
    <w:name w:val="heading 9"/>
    <w:basedOn w:val="Heading8"/>
    <w:next w:val="Normal"/>
    <w:qFormat/>
    <w:rsid w:val="00D234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3400"/>
    <w:pPr>
      <w:spacing w:before="180"/>
      <w:ind w:left="2693" w:hanging="2693"/>
    </w:pPr>
    <w:rPr>
      <w:b w:val="0"/>
      <w:bCs/>
    </w:rPr>
  </w:style>
  <w:style w:type="paragraph" w:styleId="TOC1">
    <w:name w:val="toc 1"/>
    <w:aliases w:val="Observation TOC2"/>
    <w:uiPriority w:val="39"/>
    <w:rsid w:val="00D2340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3400"/>
    <w:pPr>
      <w:keepNext/>
      <w:keepLines/>
      <w:spacing w:before="180"/>
      <w:jc w:val="center"/>
    </w:pPr>
  </w:style>
  <w:style w:type="paragraph" w:styleId="Caption">
    <w:name w:val="caption"/>
    <w:basedOn w:val="Normal"/>
    <w:next w:val="Normal"/>
    <w:qFormat/>
    <w:rsid w:val="00D23400"/>
    <w:pPr>
      <w:spacing w:after="240"/>
      <w:jc w:val="center"/>
    </w:pPr>
    <w:rPr>
      <w:b/>
      <w:bCs/>
    </w:rPr>
  </w:style>
  <w:style w:type="paragraph" w:styleId="TOC5">
    <w:name w:val="toc 5"/>
    <w:aliases w:val="Observation TOC"/>
    <w:basedOn w:val="TOC4"/>
    <w:semiHidden/>
    <w:rsid w:val="00D23400"/>
    <w:pPr>
      <w:tabs>
        <w:tab w:val="right" w:pos="1701"/>
      </w:tabs>
      <w:ind w:left="1701" w:hanging="1701"/>
    </w:pPr>
  </w:style>
  <w:style w:type="paragraph" w:styleId="TOC4">
    <w:name w:val="toc 4"/>
    <w:basedOn w:val="TOC3"/>
    <w:semiHidden/>
    <w:rsid w:val="00D23400"/>
    <w:pPr>
      <w:ind w:left="1418" w:hanging="1418"/>
    </w:pPr>
  </w:style>
  <w:style w:type="paragraph" w:styleId="TOC3">
    <w:name w:val="toc 3"/>
    <w:basedOn w:val="TOC2"/>
    <w:semiHidden/>
    <w:rsid w:val="00D23400"/>
    <w:pPr>
      <w:ind w:left="1134" w:hanging="1134"/>
    </w:pPr>
  </w:style>
  <w:style w:type="paragraph" w:styleId="TOC2">
    <w:name w:val="toc 2"/>
    <w:basedOn w:val="TOC1"/>
    <w:semiHidden/>
    <w:rsid w:val="00D23400"/>
    <w:pPr>
      <w:keepNext w:val="0"/>
      <w:spacing w:before="0"/>
      <w:ind w:left="851" w:hanging="851"/>
    </w:pPr>
    <w:rPr>
      <w:szCs w:val="20"/>
    </w:rPr>
  </w:style>
  <w:style w:type="paragraph" w:styleId="Index2">
    <w:name w:val="index 2"/>
    <w:basedOn w:val="Index1"/>
    <w:semiHidden/>
    <w:rsid w:val="00D23400"/>
    <w:pPr>
      <w:ind w:left="284"/>
    </w:pPr>
  </w:style>
  <w:style w:type="paragraph" w:styleId="Index1">
    <w:name w:val="index 1"/>
    <w:basedOn w:val="Normal"/>
    <w:semiHidden/>
    <w:rsid w:val="00D23400"/>
    <w:pPr>
      <w:keepLines/>
      <w:spacing w:after="0"/>
    </w:pPr>
  </w:style>
  <w:style w:type="paragraph" w:styleId="DocumentMap">
    <w:name w:val="Document Map"/>
    <w:basedOn w:val="Normal"/>
    <w:semiHidden/>
    <w:rsid w:val="00D23400"/>
    <w:pPr>
      <w:shd w:val="clear" w:color="auto" w:fill="000080"/>
    </w:pPr>
    <w:rPr>
      <w:rFonts w:ascii="Tahoma" w:hAnsi="Tahoma" w:cs="Tahoma"/>
    </w:rPr>
  </w:style>
  <w:style w:type="paragraph" w:styleId="ListNumber2">
    <w:name w:val="List Number 2"/>
    <w:basedOn w:val="ListNumber"/>
    <w:rsid w:val="00D23400"/>
    <w:pPr>
      <w:ind w:left="851"/>
    </w:pPr>
  </w:style>
  <w:style w:type="paragraph" w:styleId="ListNumber">
    <w:name w:val="List Number"/>
    <w:basedOn w:val="List"/>
    <w:rsid w:val="00D23400"/>
  </w:style>
  <w:style w:type="paragraph" w:styleId="List">
    <w:name w:val="List"/>
    <w:basedOn w:val="Normal"/>
    <w:rsid w:val="00D23400"/>
    <w:pPr>
      <w:ind w:left="568" w:hanging="284"/>
    </w:pPr>
  </w:style>
  <w:style w:type="paragraph" w:styleId="Header">
    <w:name w:val="header"/>
    <w:link w:val="HeaderChar"/>
    <w:qFormat/>
    <w:rsid w:val="00D2340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3400"/>
    <w:rPr>
      <w:b/>
      <w:bCs/>
      <w:position w:val="6"/>
      <w:sz w:val="16"/>
      <w:szCs w:val="16"/>
    </w:rPr>
  </w:style>
  <w:style w:type="paragraph" w:styleId="FootnoteText">
    <w:name w:val="footnote text"/>
    <w:basedOn w:val="Normal"/>
    <w:semiHidden/>
    <w:rsid w:val="00D23400"/>
    <w:pPr>
      <w:keepLines/>
      <w:spacing w:after="0"/>
      <w:ind w:left="454" w:hanging="454"/>
    </w:pPr>
    <w:rPr>
      <w:sz w:val="16"/>
      <w:szCs w:val="16"/>
    </w:rPr>
  </w:style>
  <w:style w:type="paragraph" w:customStyle="1" w:styleId="3GPPHeader">
    <w:name w:val="3GPP_Header"/>
    <w:basedOn w:val="Normal"/>
    <w:rsid w:val="00D23400"/>
    <w:pPr>
      <w:tabs>
        <w:tab w:val="left" w:pos="1701"/>
        <w:tab w:val="right" w:pos="9639"/>
      </w:tabs>
      <w:spacing w:after="240"/>
    </w:pPr>
    <w:rPr>
      <w:b/>
      <w:sz w:val="24"/>
    </w:rPr>
  </w:style>
  <w:style w:type="paragraph" w:styleId="TOC9">
    <w:name w:val="toc 9"/>
    <w:basedOn w:val="TOC8"/>
    <w:semiHidden/>
    <w:rsid w:val="00D23400"/>
    <w:pPr>
      <w:ind w:left="1418" w:hanging="1418"/>
    </w:pPr>
  </w:style>
  <w:style w:type="paragraph" w:styleId="TOC6">
    <w:name w:val="toc 6"/>
    <w:basedOn w:val="TOC5"/>
    <w:next w:val="Normal"/>
    <w:semiHidden/>
    <w:rsid w:val="00D23400"/>
    <w:pPr>
      <w:ind w:left="1985" w:hanging="1985"/>
    </w:pPr>
  </w:style>
  <w:style w:type="paragraph" w:styleId="TOC7">
    <w:name w:val="toc 7"/>
    <w:basedOn w:val="TOC6"/>
    <w:next w:val="Normal"/>
    <w:semiHidden/>
    <w:rsid w:val="00D23400"/>
    <w:pPr>
      <w:ind w:left="2268" w:hanging="2268"/>
    </w:pPr>
  </w:style>
  <w:style w:type="paragraph" w:styleId="ListBullet2">
    <w:name w:val="List Bullet 2"/>
    <w:basedOn w:val="ListBullet"/>
    <w:rsid w:val="00D23400"/>
    <w:pPr>
      <w:numPr>
        <w:numId w:val="6"/>
      </w:numPr>
    </w:pPr>
  </w:style>
  <w:style w:type="paragraph" w:styleId="ListBullet">
    <w:name w:val="List Bullet"/>
    <w:basedOn w:val="BodyText"/>
    <w:rsid w:val="00D23400"/>
    <w:pPr>
      <w:numPr>
        <w:numId w:val="5"/>
      </w:numPr>
    </w:pPr>
  </w:style>
  <w:style w:type="paragraph" w:styleId="ListBullet3">
    <w:name w:val="List Bullet 3"/>
    <w:basedOn w:val="ListBullet2"/>
    <w:rsid w:val="00D23400"/>
    <w:pPr>
      <w:numPr>
        <w:numId w:val="7"/>
      </w:numPr>
    </w:pPr>
  </w:style>
  <w:style w:type="paragraph" w:customStyle="1" w:styleId="EQ">
    <w:name w:val="EQ"/>
    <w:basedOn w:val="Normal"/>
    <w:next w:val="Normal"/>
    <w:rsid w:val="00D23400"/>
    <w:pPr>
      <w:keepLines/>
      <w:tabs>
        <w:tab w:val="center" w:pos="4536"/>
        <w:tab w:val="right" w:pos="9072"/>
      </w:tabs>
      <w:spacing w:after="180"/>
      <w:jc w:val="left"/>
    </w:pPr>
    <w:rPr>
      <w:noProof/>
      <w:lang w:eastAsia="en-US"/>
    </w:rPr>
  </w:style>
  <w:style w:type="paragraph" w:styleId="List2">
    <w:name w:val="List 2"/>
    <w:basedOn w:val="List"/>
    <w:rsid w:val="00D23400"/>
    <w:pPr>
      <w:ind w:left="851"/>
    </w:pPr>
  </w:style>
  <w:style w:type="paragraph" w:styleId="List3">
    <w:name w:val="List 3"/>
    <w:basedOn w:val="List2"/>
    <w:rsid w:val="00D23400"/>
    <w:pPr>
      <w:ind w:left="1135"/>
    </w:pPr>
  </w:style>
  <w:style w:type="paragraph" w:styleId="List4">
    <w:name w:val="List 4"/>
    <w:basedOn w:val="List3"/>
    <w:rsid w:val="00D23400"/>
    <w:pPr>
      <w:ind w:left="1418"/>
    </w:pPr>
  </w:style>
  <w:style w:type="paragraph" w:styleId="List5">
    <w:name w:val="List 5"/>
    <w:basedOn w:val="List4"/>
    <w:rsid w:val="00D23400"/>
    <w:pPr>
      <w:ind w:left="1702"/>
    </w:pPr>
  </w:style>
  <w:style w:type="paragraph" w:customStyle="1" w:styleId="EditorsNote">
    <w:name w:val="Editor's Note"/>
    <w:aliases w:val="EN"/>
    <w:basedOn w:val="Normal"/>
    <w:link w:val="EditorsNoteChar"/>
    <w:qFormat/>
    <w:rsid w:val="00D23400"/>
    <w:pPr>
      <w:keepLines/>
      <w:spacing w:after="180"/>
      <w:ind w:left="1135" w:hanging="851"/>
      <w:jc w:val="left"/>
    </w:pPr>
    <w:rPr>
      <w:color w:val="FF0000"/>
      <w:lang w:eastAsia="en-US"/>
    </w:rPr>
  </w:style>
  <w:style w:type="paragraph" w:styleId="ListBullet4">
    <w:name w:val="List Bullet 4"/>
    <w:basedOn w:val="ListBullet3"/>
    <w:rsid w:val="00D23400"/>
    <w:pPr>
      <w:numPr>
        <w:numId w:val="8"/>
      </w:numPr>
    </w:pPr>
  </w:style>
  <w:style w:type="paragraph" w:styleId="ListBullet5">
    <w:name w:val="List Bullet 5"/>
    <w:basedOn w:val="ListBullet4"/>
    <w:rsid w:val="00D23400"/>
    <w:pPr>
      <w:numPr>
        <w:numId w:val="4"/>
      </w:numPr>
    </w:pPr>
  </w:style>
  <w:style w:type="paragraph" w:styleId="Footer">
    <w:name w:val="footer"/>
    <w:basedOn w:val="Header"/>
    <w:semiHidden/>
    <w:rsid w:val="00D23400"/>
    <w:pPr>
      <w:jc w:val="center"/>
    </w:pPr>
    <w:rPr>
      <w:i/>
      <w:iCs/>
    </w:rPr>
  </w:style>
  <w:style w:type="paragraph" w:customStyle="1" w:styleId="Reference">
    <w:name w:val="Reference"/>
    <w:basedOn w:val="Normal"/>
    <w:rsid w:val="00D23400"/>
    <w:pPr>
      <w:numPr>
        <w:numId w:val="2"/>
      </w:numPr>
    </w:pPr>
  </w:style>
  <w:style w:type="paragraph" w:styleId="BalloonText">
    <w:name w:val="Balloon Text"/>
    <w:basedOn w:val="Normal"/>
    <w:semiHidden/>
    <w:rsid w:val="00D23400"/>
    <w:rPr>
      <w:rFonts w:ascii="Tahoma" w:hAnsi="Tahoma" w:cs="Tahoma"/>
      <w:sz w:val="16"/>
      <w:szCs w:val="16"/>
    </w:rPr>
  </w:style>
  <w:style w:type="character" w:styleId="PageNumber">
    <w:name w:val="page number"/>
    <w:basedOn w:val="DefaultParagraphFont"/>
    <w:semiHidden/>
    <w:rsid w:val="00D23400"/>
  </w:style>
  <w:style w:type="paragraph" w:styleId="BodyText">
    <w:name w:val="Body Text"/>
    <w:basedOn w:val="Normal"/>
    <w:link w:val="BodyTextChar"/>
    <w:rsid w:val="00D23400"/>
  </w:style>
  <w:style w:type="character" w:styleId="Hyperlink">
    <w:name w:val="Hyperlink"/>
    <w:uiPriority w:val="99"/>
    <w:rsid w:val="00D23400"/>
    <w:rPr>
      <w:color w:val="0000FF"/>
      <w:u w:val="single"/>
      <w:lang w:val="en-GB"/>
    </w:rPr>
  </w:style>
  <w:style w:type="character" w:styleId="FollowedHyperlink">
    <w:name w:val="FollowedHyperlink"/>
    <w:semiHidden/>
    <w:rsid w:val="00D23400"/>
    <w:rPr>
      <w:color w:val="FF0000"/>
      <w:u w:val="single"/>
    </w:rPr>
  </w:style>
  <w:style w:type="character" w:styleId="CommentReference">
    <w:name w:val="annotation reference"/>
    <w:semiHidden/>
    <w:rsid w:val="00D23400"/>
    <w:rPr>
      <w:sz w:val="16"/>
      <w:szCs w:val="16"/>
    </w:rPr>
  </w:style>
  <w:style w:type="paragraph" w:styleId="CommentText">
    <w:name w:val="annotation text"/>
    <w:basedOn w:val="Normal"/>
    <w:semiHidden/>
    <w:rsid w:val="00D23400"/>
  </w:style>
  <w:style w:type="paragraph" w:styleId="CommentSubject">
    <w:name w:val="annotation subject"/>
    <w:basedOn w:val="CommentText"/>
    <w:next w:val="CommentText"/>
    <w:semiHidden/>
    <w:rsid w:val="00D23400"/>
    <w:rPr>
      <w:b/>
      <w:bCs/>
    </w:rPr>
  </w:style>
  <w:style w:type="character" w:customStyle="1" w:styleId="Heading1Char">
    <w:name w:val="Heading 1 Char"/>
    <w:link w:val="Heading1"/>
    <w:rsid w:val="00D23400"/>
    <w:rPr>
      <w:rFonts w:ascii="Arial" w:hAnsi="Arial" w:cs="Arial"/>
      <w:sz w:val="36"/>
      <w:szCs w:val="36"/>
      <w:lang w:val="en-GB" w:eastAsia="zh-CN"/>
    </w:rPr>
  </w:style>
  <w:style w:type="paragraph" w:customStyle="1" w:styleId="B1">
    <w:name w:val="B1"/>
    <w:basedOn w:val="List"/>
    <w:link w:val="B1Char1"/>
    <w:qFormat/>
    <w:rsid w:val="00D23400"/>
    <w:pPr>
      <w:spacing w:after="180"/>
      <w:jc w:val="left"/>
    </w:pPr>
    <w:rPr>
      <w:lang w:eastAsia="en-US"/>
    </w:rPr>
  </w:style>
  <w:style w:type="paragraph" w:customStyle="1" w:styleId="B2">
    <w:name w:val="B2"/>
    <w:basedOn w:val="List2"/>
    <w:link w:val="B2Char"/>
    <w:rsid w:val="00D23400"/>
    <w:pPr>
      <w:spacing w:after="180"/>
      <w:jc w:val="left"/>
    </w:pPr>
    <w:rPr>
      <w:lang w:eastAsia="en-US"/>
    </w:rPr>
  </w:style>
  <w:style w:type="paragraph" w:customStyle="1" w:styleId="B3">
    <w:name w:val="B3"/>
    <w:basedOn w:val="List3"/>
    <w:link w:val="B3Car"/>
    <w:rsid w:val="00D23400"/>
    <w:pPr>
      <w:spacing w:after="180"/>
      <w:jc w:val="left"/>
    </w:pPr>
    <w:rPr>
      <w:lang w:eastAsia="en-US"/>
    </w:rPr>
  </w:style>
  <w:style w:type="paragraph" w:customStyle="1" w:styleId="B4">
    <w:name w:val="B4"/>
    <w:basedOn w:val="List4"/>
    <w:rsid w:val="00D23400"/>
    <w:pPr>
      <w:spacing w:after="180"/>
      <w:jc w:val="left"/>
    </w:pPr>
    <w:rPr>
      <w:lang w:eastAsia="en-US"/>
    </w:rPr>
  </w:style>
  <w:style w:type="paragraph" w:customStyle="1" w:styleId="Proposal">
    <w:name w:val="Proposal"/>
    <w:basedOn w:val="Normal"/>
    <w:rsid w:val="00D23400"/>
    <w:pPr>
      <w:numPr>
        <w:numId w:val="3"/>
      </w:numPr>
      <w:tabs>
        <w:tab w:val="clear" w:pos="1304"/>
        <w:tab w:val="left" w:pos="1701"/>
      </w:tabs>
      <w:ind w:left="1701" w:hanging="1701"/>
    </w:pPr>
    <w:rPr>
      <w:b/>
      <w:bCs/>
    </w:rPr>
  </w:style>
  <w:style w:type="character" w:customStyle="1" w:styleId="BodyTextChar">
    <w:name w:val="Body Text Char"/>
    <w:link w:val="BodyText"/>
    <w:rsid w:val="00D23400"/>
    <w:rPr>
      <w:rFonts w:ascii="Arial" w:hAnsi="Arial"/>
      <w:lang w:val="en-GB" w:eastAsia="zh-CN"/>
    </w:rPr>
  </w:style>
  <w:style w:type="paragraph" w:customStyle="1" w:styleId="B5">
    <w:name w:val="B5"/>
    <w:basedOn w:val="List5"/>
    <w:rsid w:val="00D23400"/>
    <w:pPr>
      <w:spacing w:after="180"/>
      <w:jc w:val="left"/>
    </w:pPr>
    <w:rPr>
      <w:lang w:eastAsia="en-US"/>
    </w:rPr>
  </w:style>
  <w:style w:type="paragraph" w:customStyle="1" w:styleId="EX">
    <w:name w:val="EX"/>
    <w:basedOn w:val="Normal"/>
    <w:rsid w:val="00D23400"/>
    <w:pPr>
      <w:keepLines/>
      <w:spacing w:after="180"/>
      <w:ind w:left="1702" w:hanging="1418"/>
      <w:jc w:val="left"/>
    </w:pPr>
    <w:rPr>
      <w:lang w:eastAsia="en-US"/>
    </w:rPr>
  </w:style>
  <w:style w:type="paragraph" w:customStyle="1" w:styleId="EW">
    <w:name w:val="EW"/>
    <w:basedOn w:val="EX"/>
    <w:rsid w:val="00D23400"/>
    <w:pPr>
      <w:spacing w:after="0"/>
    </w:pPr>
  </w:style>
  <w:style w:type="paragraph" w:customStyle="1" w:styleId="TAL">
    <w:name w:val="TAL"/>
    <w:basedOn w:val="Normal"/>
    <w:rsid w:val="00D23400"/>
    <w:pPr>
      <w:keepNext/>
      <w:keepLines/>
      <w:spacing w:after="0"/>
      <w:jc w:val="left"/>
    </w:pPr>
    <w:rPr>
      <w:sz w:val="18"/>
      <w:lang w:eastAsia="en-US"/>
    </w:rPr>
  </w:style>
  <w:style w:type="paragraph" w:customStyle="1" w:styleId="TAC">
    <w:name w:val="TAC"/>
    <w:basedOn w:val="TAL"/>
    <w:rsid w:val="00D23400"/>
    <w:pPr>
      <w:jc w:val="center"/>
    </w:pPr>
  </w:style>
  <w:style w:type="paragraph" w:customStyle="1" w:styleId="TAH">
    <w:name w:val="TAH"/>
    <w:basedOn w:val="TAC"/>
    <w:rsid w:val="00D23400"/>
    <w:rPr>
      <w:b/>
    </w:rPr>
  </w:style>
  <w:style w:type="paragraph" w:customStyle="1" w:styleId="TAN">
    <w:name w:val="TAN"/>
    <w:basedOn w:val="TAL"/>
    <w:rsid w:val="00D23400"/>
    <w:pPr>
      <w:ind w:left="851" w:hanging="851"/>
    </w:pPr>
  </w:style>
  <w:style w:type="paragraph" w:customStyle="1" w:styleId="TAR">
    <w:name w:val="TAR"/>
    <w:basedOn w:val="TAL"/>
    <w:rsid w:val="00D23400"/>
    <w:pPr>
      <w:jc w:val="right"/>
    </w:pPr>
  </w:style>
  <w:style w:type="paragraph" w:customStyle="1" w:styleId="TH">
    <w:name w:val="TH"/>
    <w:basedOn w:val="Normal"/>
    <w:rsid w:val="00D23400"/>
    <w:pPr>
      <w:keepNext/>
      <w:keepLines/>
      <w:spacing w:before="60" w:after="180"/>
      <w:jc w:val="center"/>
    </w:pPr>
    <w:rPr>
      <w:b/>
      <w:lang w:eastAsia="en-US"/>
    </w:rPr>
  </w:style>
  <w:style w:type="paragraph" w:customStyle="1" w:styleId="TF">
    <w:name w:val="TF"/>
    <w:basedOn w:val="TH"/>
    <w:rsid w:val="00D23400"/>
    <w:pPr>
      <w:keepNext w:val="0"/>
      <w:spacing w:before="0" w:after="240"/>
    </w:pPr>
  </w:style>
  <w:style w:type="paragraph" w:customStyle="1" w:styleId="TT">
    <w:name w:val="TT"/>
    <w:basedOn w:val="Heading1"/>
    <w:next w:val="Normal"/>
    <w:rsid w:val="00D23400"/>
    <w:pPr>
      <w:numPr>
        <w:numId w:val="0"/>
      </w:numPr>
      <w:ind w:left="1134" w:hanging="1134"/>
      <w:outlineLvl w:val="9"/>
    </w:pPr>
    <w:rPr>
      <w:rFonts w:cs="Times New Roman"/>
      <w:szCs w:val="20"/>
      <w:lang w:eastAsia="en-US"/>
    </w:rPr>
  </w:style>
  <w:style w:type="paragraph" w:customStyle="1" w:styleId="ZA">
    <w:name w:val="ZA"/>
    <w:rsid w:val="00D234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34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340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340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3400"/>
  </w:style>
  <w:style w:type="paragraph" w:customStyle="1" w:styleId="ZH">
    <w:name w:val="ZH"/>
    <w:rsid w:val="00D2340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340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3400"/>
    <w:pPr>
      <w:framePr w:hRule="auto" w:wrap="notBeside" w:y="852"/>
    </w:pPr>
    <w:rPr>
      <w:i w:val="0"/>
      <w:sz w:val="40"/>
    </w:rPr>
  </w:style>
  <w:style w:type="paragraph" w:customStyle="1" w:styleId="ZU">
    <w:name w:val="ZU"/>
    <w:rsid w:val="00D234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3400"/>
    <w:pPr>
      <w:framePr w:wrap="notBeside" w:y="16161"/>
    </w:pPr>
  </w:style>
  <w:style w:type="paragraph" w:customStyle="1" w:styleId="FP">
    <w:name w:val="FP"/>
    <w:basedOn w:val="Normal"/>
    <w:rsid w:val="00D23400"/>
    <w:pPr>
      <w:spacing w:after="0"/>
      <w:jc w:val="left"/>
    </w:pPr>
    <w:rPr>
      <w:lang w:eastAsia="en-US"/>
    </w:rPr>
  </w:style>
  <w:style w:type="paragraph" w:customStyle="1" w:styleId="Observation">
    <w:name w:val="Observation"/>
    <w:basedOn w:val="Proposal"/>
    <w:qFormat/>
    <w:rsid w:val="00D23400"/>
    <w:pPr>
      <w:numPr>
        <w:numId w:val="13"/>
      </w:numPr>
      <w:ind w:left="1701" w:hanging="1701"/>
    </w:pPr>
  </w:style>
  <w:style w:type="paragraph" w:styleId="TableofFigures">
    <w:name w:val="table of figures"/>
    <w:basedOn w:val="Normal"/>
    <w:next w:val="Normal"/>
    <w:uiPriority w:val="99"/>
    <w:rsid w:val="00D23400"/>
    <w:pPr>
      <w:ind w:left="1418" w:hanging="1418"/>
      <w:jc w:val="left"/>
    </w:pPr>
    <w:rPr>
      <w:b/>
    </w:rPr>
  </w:style>
  <w:style w:type="paragraph" w:customStyle="1" w:styleId="Doc-text2">
    <w:name w:val="Doc-text2"/>
    <w:basedOn w:val="Normal"/>
    <w:link w:val="Doc-text2Char"/>
    <w:qFormat/>
    <w:rsid w:val="00D234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340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323FBD"/>
    <w:rPr>
      <w:color w:val="605E5C"/>
      <w:shd w:val="clear" w:color="auto" w:fill="E1DFDD"/>
    </w:rPr>
  </w:style>
  <w:style w:type="character" w:customStyle="1" w:styleId="HeaderChar">
    <w:name w:val="Header Char"/>
    <w:basedOn w:val="DefaultParagraphFont"/>
    <w:link w:val="Header"/>
    <w:qFormat/>
    <w:rsid w:val="00323FBD"/>
    <w:rPr>
      <w:rFonts w:ascii="Arial" w:hAnsi="Arial" w:cs="Arial"/>
      <w:b/>
      <w:bCs/>
      <w:noProof/>
      <w:sz w:val="18"/>
      <w:szCs w:val="18"/>
      <w:lang w:eastAsia="zh-CN"/>
    </w:rPr>
  </w:style>
  <w:style w:type="character" w:customStyle="1" w:styleId="B1Char1">
    <w:name w:val="B1 Char1"/>
    <w:link w:val="B1"/>
    <w:locked/>
    <w:rsid w:val="00434CDB"/>
    <w:rPr>
      <w:rFonts w:ascii="Arial" w:hAnsi="Arial"/>
      <w:lang w:val="en-GB"/>
    </w:rPr>
  </w:style>
  <w:style w:type="character" w:customStyle="1" w:styleId="B2Char">
    <w:name w:val="B2 Char"/>
    <w:link w:val="B2"/>
    <w:locked/>
    <w:rsid w:val="00434CDB"/>
    <w:rPr>
      <w:rFonts w:ascii="Arial" w:hAnsi="Arial"/>
      <w:lang w:val="en-GB"/>
    </w:rPr>
  </w:style>
  <w:style w:type="character" w:customStyle="1" w:styleId="B3Car">
    <w:name w:val="B3 Car"/>
    <w:link w:val="B3"/>
    <w:locked/>
    <w:rsid w:val="00434CDB"/>
    <w:rPr>
      <w:rFonts w:ascii="Arial" w:hAnsi="Arial"/>
      <w:lang w:val="en-GB"/>
    </w:rPr>
  </w:style>
  <w:style w:type="character" w:customStyle="1" w:styleId="EditorsNoteChar">
    <w:name w:val="Editor's Note Char"/>
    <w:link w:val="EditorsNote"/>
    <w:locked/>
    <w:rsid w:val="00434CDB"/>
    <w:rPr>
      <w:rFonts w:ascii="Arial" w:hAnsi="Arial"/>
      <w:color w:val="FF0000"/>
      <w:lang w:val="en-GB"/>
    </w:rPr>
  </w:style>
  <w:style w:type="character" w:customStyle="1" w:styleId="NOChar">
    <w:name w:val="NO Char"/>
    <w:link w:val="NO"/>
    <w:locked/>
    <w:rsid w:val="00434CDB"/>
    <w:rPr>
      <w:color w:val="000000"/>
      <w:lang w:val="en-GB" w:eastAsia="ja-JP"/>
    </w:rPr>
  </w:style>
  <w:style w:type="paragraph" w:customStyle="1" w:styleId="NO">
    <w:name w:val="NO"/>
    <w:basedOn w:val="Normal"/>
    <w:link w:val="NOChar"/>
    <w:qFormat/>
    <w:rsid w:val="00434CDB"/>
    <w:pPr>
      <w:keepLines/>
      <w:spacing w:after="180"/>
      <w:ind w:left="1135" w:hanging="851"/>
      <w:jc w:val="left"/>
      <w:textAlignment w:val="auto"/>
    </w:pPr>
    <w:rPr>
      <w:rFonts w:ascii="CG Times (WN)" w:hAnsi="CG Times (WN)"/>
      <w:color w:val="000000"/>
      <w:lang w:eastAsia="ja-JP"/>
    </w:rPr>
  </w:style>
  <w:style w:type="character" w:customStyle="1" w:styleId="B1Char">
    <w:name w:val="B1 Char"/>
    <w:locked/>
    <w:rsid w:val="00434CDB"/>
    <w:rPr>
      <w:rFonts w:ascii="Times New Roman" w:hAnsi="Times New Roman"/>
      <w:lang w:val="en-GB"/>
    </w:rPr>
  </w:style>
  <w:style w:type="table" w:styleId="TableGrid">
    <w:name w:val="Table Grid"/>
    <w:basedOn w:val="TableNormal"/>
    <w:rsid w:val="002B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901122">
      <w:bodyDiv w:val="1"/>
      <w:marLeft w:val="0"/>
      <w:marRight w:val="0"/>
      <w:marTop w:val="0"/>
      <w:marBottom w:val="0"/>
      <w:divBdr>
        <w:top w:val="none" w:sz="0" w:space="0" w:color="auto"/>
        <w:left w:val="none" w:sz="0" w:space="0" w:color="auto"/>
        <w:bottom w:val="none" w:sz="0" w:space="0" w:color="auto"/>
        <w:right w:val="none" w:sz="0" w:space="0" w:color="auto"/>
      </w:divBdr>
    </w:div>
    <w:div w:id="381825907">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8865555">
      <w:bodyDiv w:val="1"/>
      <w:marLeft w:val="0"/>
      <w:marRight w:val="0"/>
      <w:marTop w:val="0"/>
      <w:marBottom w:val="0"/>
      <w:divBdr>
        <w:top w:val="none" w:sz="0" w:space="0" w:color="auto"/>
        <w:left w:val="none" w:sz="0" w:space="0" w:color="auto"/>
        <w:bottom w:val="none" w:sz="0" w:space="0" w:color="auto"/>
        <w:right w:val="none" w:sz="0" w:space="0" w:color="auto"/>
      </w:divBdr>
    </w:div>
    <w:div w:id="582225360">
      <w:bodyDiv w:val="1"/>
      <w:marLeft w:val="0"/>
      <w:marRight w:val="0"/>
      <w:marTop w:val="0"/>
      <w:marBottom w:val="0"/>
      <w:divBdr>
        <w:top w:val="none" w:sz="0" w:space="0" w:color="auto"/>
        <w:left w:val="none" w:sz="0" w:space="0" w:color="auto"/>
        <w:bottom w:val="none" w:sz="0" w:space="0" w:color="auto"/>
        <w:right w:val="none" w:sz="0" w:space="0" w:color="auto"/>
      </w:divBdr>
    </w:div>
    <w:div w:id="609625000">
      <w:bodyDiv w:val="1"/>
      <w:marLeft w:val="0"/>
      <w:marRight w:val="0"/>
      <w:marTop w:val="0"/>
      <w:marBottom w:val="0"/>
      <w:divBdr>
        <w:top w:val="none" w:sz="0" w:space="0" w:color="auto"/>
        <w:left w:val="none" w:sz="0" w:space="0" w:color="auto"/>
        <w:bottom w:val="none" w:sz="0" w:space="0" w:color="auto"/>
        <w:right w:val="none" w:sz="0" w:space="0" w:color="auto"/>
      </w:divBdr>
    </w:div>
    <w:div w:id="8775947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7940650">
      <w:bodyDiv w:val="1"/>
      <w:marLeft w:val="0"/>
      <w:marRight w:val="0"/>
      <w:marTop w:val="0"/>
      <w:marBottom w:val="0"/>
      <w:divBdr>
        <w:top w:val="none" w:sz="0" w:space="0" w:color="auto"/>
        <w:left w:val="none" w:sz="0" w:space="0" w:color="auto"/>
        <w:bottom w:val="none" w:sz="0" w:space="0" w:color="auto"/>
        <w:right w:val="none" w:sz="0" w:space="0" w:color="auto"/>
      </w:divBdr>
    </w:div>
    <w:div w:id="1666011690">
      <w:bodyDiv w:val="1"/>
      <w:marLeft w:val="0"/>
      <w:marRight w:val="0"/>
      <w:marTop w:val="0"/>
      <w:marBottom w:val="0"/>
      <w:divBdr>
        <w:top w:val="none" w:sz="0" w:space="0" w:color="auto"/>
        <w:left w:val="none" w:sz="0" w:space="0" w:color="auto"/>
        <w:bottom w:val="none" w:sz="0" w:space="0" w:color="auto"/>
        <w:right w:val="none" w:sz="0" w:space="0" w:color="auto"/>
      </w:divBdr>
    </w:div>
    <w:div w:id="1867056915">
      <w:bodyDiv w:val="1"/>
      <w:marLeft w:val="0"/>
      <w:marRight w:val="0"/>
      <w:marTop w:val="0"/>
      <w:marBottom w:val="0"/>
      <w:divBdr>
        <w:top w:val="none" w:sz="0" w:space="0" w:color="auto"/>
        <w:left w:val="none" w:sz="0" w:space="0" w:color="auto"/>
        <w:bottom w:val="none" w:sz="0" w:space="0" w:color="auto"/>
        <w:right w:val="none" w:sz="0" w:space="0" w:color="auto"/>
      </w:divBdr>
    </w:div>
    <w:div w:id="208228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2-19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5NUHHDQN7SK2-1476151046-41439</_dlc_DocId>
    <_dlc_DocIdUrl xmlns="f166a696-7b5b-4ccd-9f0c-ffde0cceec81">
      <Url>https://ericsson.sharepoint.com/sites/star/_layouts/15/DocIdRedir.aspx?ID=5NUHHDQN7SK2-1476151046-41439</Url>
      <Description>5NUHHDQN7SK2-1476151046-41439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8D3061D3-1088-4C7F-827C-993516178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611109f9-ed58-4498-a270-1fb2086a5321"/>
    <ds:schemaRef ds:uri="f166a696-7b5b-4ccd-9f0c-ffde0cceec81"/>
    <ds:schemaRef ds:uri="http://purl.org/dc/elements/1.1/"/>
    <ds:schemaRef ds:uri="http://purl.org/dc/terms/"/>
    <ds:schemaRef ds:uri="http://schemas.microsoft.com/sharepoint/v4"/>
    <ds:schemaRef ds:uri="d8762117-8292-4133-b1c7-eab5c6487cfd"/>
    <ds:schemaRef ds:uri="http://www.w3.org/XML/1998/namespac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1D9336F3-A80B-440A-90D2-1DE62390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R2-19xxxxx - Contribution Template</Template>
  <TotalTime>839</TotalTime>
  <Pages>7</Pages>
  <Words>2995</Words>
  <Characters>17074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Oscar Ohlsson</cp:lastModifiedBy>
  <cp:revision>222</cp:revision>
  <cp:lastPrinted>2008-01-31T16:09:00Z</cp:lastPrinted>
  <dcterms:created xsi:type="dcterms:W3CDTF">2019-02-05T09:39:00Z</dcterms:created>
  <dcterms:modified xsi:type="dcterms:W3CDTF">2019-02-14T21:24:00Z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2a68f045-5400-4678-a1a4-5a860ceb9532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149</vt:lpwstr>
  </property>
  <property fmtid="{D5CDD505-2E9C-101B-9397-08002B2CF9AE}" pid="19" name="AuthorIds_UIVersion_2560">
    <vt:lpwstr>149</vt:lpwstr>
  </property>
  <property fmtid="{D5CDD505-2E9C-101B-9397-08002B2CF9AE}" pid="20" name="AuthorIds_UIVersion_3072">
    <vt:lpwstr>149</vt:lpwstr>
  </property>
  <property fmtid="{D5CDD505-2E9C-101B-9397-08002B2CF9AE}" pid="21" name="AuthorIds_UIVersion_4096">
    <vt:lpwstr>357</vt:lpwstr>
  </property>
  <property fmtid="{D5CDD505-2E9C-101B-9397-08002B2CF9AE}" pid="22" name="AuthorIds_UIVersion_6656">
    <vt:lpwstr>149</vt:lpwstr>
  </property>
  <property fmtid="{D5CDD505-2E9C-101B-9397-08002B2CF9AE}" pid="23" name="AuthorIds_UIVersion_8192">
    <vt:lpwstr>149</vt:lpwstr>
  </property>
  <property fmtid="{D5CDD505-2E9C-101B-9397-08002B2CF9AE}" pid="24" name="AuthorIds_UIVersion_17408">
    <vt:lpwstr>352</vt:lpwstr>
  </property>
  <property fmtid="{D5CDD505-2E9C-101B-9397-08002B2CF9AE}" pid="25" name="AuthorIds_UIVersion_18944">
    <vt:lpwstr>352</vt:lpwstr>
  </property>
</Properties>
</file>